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D9E" w:rsidRPr="00D43F3F" w:rsidRDefault="00CF1B9F" w:rsidP="006053E5">
      <w:pPr>
        <w:pStyle w:val="AralkYok"/>
        <w:shd w:val="clear" w:color="auto" w:fill="92D050"/>
        <w:jc w:val="center"/>
        <w:rPr>
          <w:rFonts w:cs="Arial"/>
          <w:b/>
        </w:rPr>
      </w:pPr>
      <w:r>
        <w:rPr>
          <w:rFonts w:cs="Arial"/>
          <w:b/>
        </w:rPr>
        <w:t xml:space="preserve">……………. </w:t>
      </w:r>
      <w:r w:rsidR="00D43F3F" w:rsidRPr="00D43F3F">
        <w:rPr>
          <w:rFonts w:cs="Arial"/>
          <w:b/>
        </w:rPr>
        <w:t>ASLİYE HUKUK MAHKEMESİNE</w:t>
      </w:r>
    </w:p>
    <w:p w:rsidR="00D43F3F" w:rsidRPr="00D43F3F" w:rsidRDefault="00D43F3F" w:rsidP="00C72D9E">
      <w:pPr>
        <w:pStyle w:val="AralkYok"/>
        <w:jc w:val="both"/>
        <w:rPr>
          <w:rFonts w:cs="Arial"/>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proofErr w:type="gramStart"/>
      <w:r w:rsidRPr="00D43F3F">
        <w:rPr>
          <w:rFonts w:cs="Arial"/>
          <w:b/>
        </w:rPr>
        <w:tab/>
        <w:t>:</w:t>
      </w:r>
      <w:r w:rsidR="00CF1B9F">
        <w:rPr>
          <w:rFonts w:cs="Arial"/>
        </w:rPr>
        <w:t>…</w:t>
      </w:r>
      <w:proofErr w:type="gramEnd"/>
      <w:r w:rsidR="00CF1B9F">
        <w:rPr>
          <w:rFonts w:cs="Arial"/>
        </w:rPr>
        <w:t xml:space="preserve">…………… </w:t>
      </w:r>
      <w:r w:rsidR="00D43F3F" w:rsidRPr="00D43F3F">
        <w:rPr>
          <w:rFonts w:cs="Arial"/>
        </w:rPr>
        <w:t xml:space="preserve">E. </w:t>
      </w:r>
    </w:p>
    <w:p w:rsidR="00C72D9E" w:rsidRPr="00D43F3F" w:rsidRDefault="00C72D9E" w:rsidP="00C72D9E">
      <w:pPr>
        <w:pStyle w:val="AralkYok"/>
        <w:jc w:val="both"/>
        <w:rPr>
          <w:rFonts w:cs="Arial"/>
        </w:rPr>
      </w:pPr>
    </w:p>
    <w:p w:rsidR="00C72D9E" w:rsidRPr="00D43F3F" w:rsidRDefault="00030BCC" w:rsidP="00D43F3F">
      <w:pPr>
        <w:pStyle w:val="AralkYok"/>
        <w:jc w:val="both"/>
        <w:rPr>
          <w:rFonts w:cs="Arial"/>
        </w:rPr>
      </w:pPr>
      <w:r w:rsidRPr="00D43F3F">
        <w:rPr>
          <w:rFonts w:cs="Arial"/>
          <w:b/>
        </w:rPr>
        <w:t>DAVACI</w:t>
      </w:r>
      <w:r w:rsidRPr="00D43F3F">
        <w:rPr>
          <w:rFonts w:cs="Arial"/>
          <w:b/>
        </w:rPr>
        <w:tab/>
      </w:r>
      <w:proofErr w:type="gramStart"/>
      <w:r w:rsidR="00E51F5B" w:rsidRPr="00D43F3F">
        <w:rPr>
          <w:rFonts w:cs="Arial"/>
          <w:b/>
        </w:rPr>
        <w:tab/>
      </w:r>
      <w:r w:rsidRPr="00D43F3F">
        <w:rPr>
          <w:rFonts w:cs="Arial"/>
          <w:b/>
        </w:rPr>
        <w:t>:</w:t>
      </w:r>
      <w:r w:rsidR="00CF1B9F">
        <w:rPr>
          <w:rFonts w:cs="Arial"/>
        </w:rPr>
        <w:t>…</w:t>
      </w:r>
      <w:proofErr w:type="gramEnd"/>
      <w:r w:rsidR="00CF1B9F">
        <w:rPr>
          <w:rFonts w:cs="Arial"/>
        </w:rPr>
        <w:t xml:space="preserve">………………. </w:t>
      </w:r>
      <w:proofErr w:type="spellStart"/>
      <w:proofErr w:type="gramStart"/>
      <w:r w:rsidR="006053E5">
        <w:rPr>
          <w:rFonts w:cs="Arial"/>
        </w:rPr>
        <w:t>velayeten</w:t>
      </w:r>
      <w:proofErr w:type="spellEnd"/>
      <w:proofErr w:type="gramEnd"/>
      <w:r w:rsidR="006053E5">
        <w:rPr>
          <w:rFonts w:cs="Arial"/>
        </w:rPr>
        <w:t xml:space="preserve"> </w:t>
      </w:r>
      <w:r w:rsidR="00CF1B9F">
        <w:rPr>
          <w:rFonts w:cs="Arial"/>
        </w:rPr>
        <w:t xml:space="preserve">Annesi ……………. </w:t>
      </w:r>
      <w:proofErr w:type="gramStart"/>
      <w:r w:rsidR="006053E5">
        <w:rPr>
          <w:rFonts w:cs="Arial"/>
        </w:rPr>
        <w:t>ve</w:t>
      </w:r>
      <w:proofErr w:type="gramEnd"/>
      <w:r w:rsidR="006053E5">
        <w:rPr>
          <w:rFonts w:cs="Arial"/>
        </w:rPr>
        <w:t xml:space="preserve"> </w:t>
      </w:r>
      <w:r w:rsidR="00CF1B9F">
        <w:rPr>
          <w:rFonts w:cs="Arial"/>
        </w:rPr>
        <w:t>Babası ………………</w:t>
      </w:r>
    </w:p>
    <w:p w:rsidR="006053E5" w:rsidRDefault="006053E5" w:rsidP="00C72D9E">
      <w:pPr>
        <w:pStyle w:val="AralkYok"/>
        <w:jc w:val="both"/>
        <w:rPr>
          <w:rFonts w:cs="Arial"/>
          <w:b/>
        </w:rPr>
      </w:pPr>
    </w:p>
    <w:p w:rsidR="006F3D15" w:rsidRDefault="004B5642" w:rsidP="00C72D9E">
      <w:pPr>
        <w:pStyle w:val="AralkYok"/>
        <w:jc w:val="both"/>
        <w:rPr>
          <w:rFonts w:cs="Arial"/>
        </w:rPr>
      </w:pPr>
      <w:r w:rsidRPr="00D43F3F">
        <w:rPr>
          <w:rFonts w:cs="Arial"/>
          <w:b/>
        </w:rPr>
        <w:t>DAVALILAR</w:t>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w:t>
      </w:r>
      <w:r w:rsidR="00CF1B9F">
        <w:rPr>
          <w:rFonts w:cs="Arial"/>
        </w:rPr>
        <w:t xml:space="preserve">…………… </w:t>
      </w:r>
      <w:r w:rsidR="008B3F9C" w:rsidRPr="00D43F3F">
        <w:rPr>
          <w:rFonts w:cs="Arial"/>
        </w:rPr>
        <w:t>Sigorta A.Ş</w:t>
      </w:r>
      <w:r w:rsidR="00030BCC" w:rsidRPr="00D43F3F">
        <w:rPr>
          <w:rFonts w:cs="Arial"/>
        </w:rPr>
        <w:t>.  </w:t>
      </w:r>
    </w:p>
    <w:p w:rsidR="006F3D15" w:rsidRDefault="006F3D15" w:rsidP="00C72D9E">
      <w:pPr>
        <w:pStyle w:val="AralkYok"/>
        <w:jc w:val="both"/>
        <w:rPr>
          <w:rFonts w:cs="Arial"/>
        </w:rPr>
      </w:pPr>
    </w:p>
    <w:p w:rsidR="00030BCC" w:rsidRPr="00D43F3F" w:rsidRDefault="00030BCC" w:rsidP="006053E5">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CF1B9F" w:rsidRDefault="00030BCC" w:rsidP="006F3D15">
      <w:pPr>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6053E5">
        <w:rPr>
          <w:rFonts w:cs="Arial"/>
          <w:b/>
        </w:rPr>
        <w:t xml:space="preserve"> </w:t>
      </w:r>
      <w:r w:rsidR="00790C08" w:rsidRPr="00790C08">
        <w:rPr>
          <w:rFonts w:cs="Arial"/>
        </w:rPr>
        <w:t xml:space="preserve">Davacı </w:t>
      </w:r>
      <w:r w:rsidR="00CF1B9F">
        <w:rPr>
          <w:rFonts w:cs="Arial"/>
        </w:rPr>
        <w:t>…………</w:t>
      </w:r>
      <w:proofErr w:type="gramStart"/>
      <w:r w:rsidR="00CF1B9F">
        <w:rPr>
          <w:rFonts w:cs="Arial"/>
        </w:rPr>
        <w:t>…….</w:t>
      </w:r>
      <w:proofErr w:type="gramEnd"/>
      <w:r w:rsidR="00CF1B9F">
        <w:rPr>
          <w:rFonts w:cs="Arial"/>
        </w:rPr>
        <w:t>.</w:t>
      </w:r>
      <w:r w:rsidR="00790C08" w:rsidRPr="00790C08">
        <w:rPr>
          <w:rFonts w:cs="Arial"/>
        </w:rPr>
        <w:t>;</w:t>
      </w:r>
      <w:r w:rsidR="00790C08">
        <w:rPr>
          <w:rFonts w:cs="Arial"/>
          <w:b/>
        </w:rPr>
        <w:t xml:space="preserve"> </w:t>
      </w:r>
      <w:r w:rsidR="006053E5" w:rsidRPr="006053E5">
        <w:rPr>
          <w:rFonts w:cs="Arial"/>
        </w:rPr>
        <w:t>S</w:t>
      </w:r>
      <w:r w:rsidR="006F3D15" w:rsidRPr="002B3187">
        <w:rPr>
          <w:rFonts w:cs="Arial"/>
        </w:rPr>
        <w:t>ürücü</w:t>
      </w:r>
      <w:r w:rsidR="006053E5">
        <w:rPr>
          <w:rFonts w:cs="Arial"/>
        </w:rPr>
        <w:t xml:space="preserve"> </w:t>
      </w:r>
      <w:r w:rsidR="00CF1B9F">
        <w:rPr>
          <w:rFonts w:cs="Arial"/>
        </w:rPr>
        <w:t xml:space="preserve">……………… </w:t>
      </w:r>
      <w:r w:rsidR="006053E5">
        <w:rPr>
          <w:rFonts w:cs="Arial"/>
        </w:rPr>
        <w:t xml:space="preserve">sevk ve idaresinde bulunan </w:t>
      </w:r>
      <w:r w:rsidR="00CF1B9F">
        <w:rPr>
          <w:rFonts w:cs="Arial"/>
        </w:rPr>
        <w:t xml:space="preserve">……………… </w:t>
      </w:r>
      <w:r w:rsidR="006053E5">
        <w:rPr>
          <w:rFonts w:cs="Arial"/>
        </w:rPr>
        <w:t xml:space="preserve">Plakalı aracın 27.09.2015 tarihinde yaya </w:t>
      </w:r>
      <w:r w:rsidR="00790C08">
        <w:rPr>
          <w:rFonts w:cs="Arial"/>
        </w:rPr>
        <w:t>iken kendisine çarpması sonucunda</w:t>
      </w:r>
      <w:r w:rsidR="006F3D15" w:rsidRPr="002B3187">
        <w:rPr>
          <w:rFonts w:cs="Arial"/>
        </w:rPr>
        <w:t>, yaralanıp malul kaldığını iddia etmiştir.</w:t>
      </w:r>
    </w:p>
    <w:p w:rsidR="00CF1B9F" w:rsidRPr="002B3187" w:rsidRDefault="00CF1B9F" w:rsidP="006F3D15">
      <w:pPr>
        <w:jc w:val="both"/>
        <w:rPr>
          <w:rFonts w:cs="Arial"/>
        </w:rPr>
      </w:pPr>
    </w:p>
    <w:p w:rsidR="00030BCC" w:rsidRPr="00D43F3F" w:rsidRDefault="00030BCC" w:rsidP="00C72D9E">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006F3D15" w:rsidRPr="002B3187">
        <w:rPr>
          <w:rFonts w:cs="Arial"/>
        </w:rPr>
        <w:t xml:space="preserve">Dosya içerisinde bulunan </w:t>
      </w:r>
      <w:r w:rsidR="00790C08">
        <w:rPr>
          <w:rFonts w:cs="Arial"/>
        </w:rPr>
        <w:t>14.11.2016</w:t>
      </w:r>
      <w:r w:rsidR="006F3D15" w:rsidRPr="002B3187">
        <w:rPr>
          <w:rFonts w:cs="Arial"/>
        </w:rPr>
        <w:t xml:space="preserve"> tarihli </w:t>
      </w:r>
      <w:r w:rsidR="00790C08">
        <w:rPr>
          <w:rFonts w:cs="Arial"/>
        </w:rPr>
        <w:t xml:space="preserve">Adli Tıp Kurumu İstanbul Trafik İhtisas Dairesi raporunda davalı tarafa sigortalı araç sürücüsü </w:t>
      </w:r>
      <w:r w:rsidR="00CF1B9F">
        <w:rPr>
          <w:rFonts w:cs="Arial"/>
        </w:rPr>
        <w:t xml:space="preserve">…………… </w:t>
      </w:r>
      <w:r w:rsidR="00790C08">
        <w:rPr>
          <w:rFonts w:cs="Arial"/>
        </w:rPr>
        <w:t xml:space="preserve">%40 oranında, davacının ise %60 oranında </w:t>
      </w:r>
      <w:r w:rsidR="006F3D15" w:rsidRPr="002B3187">
        <w:rPr>
          <w:rFonts w:cs="Arial"/>
        </w:rPr>
        <w:t>kusurlu olduğu tespit edilmiştir.</w:t>
      </w:r>
    </w:p>
    <w:p w:rsidR="000E7629" w:rsidRDefault="000E7629" w:rsidP="00C72D9E">
      <w:pPr>
        <w:pStyle w:val="AralkYok"/>
        <w:jc w:val="both"/>
        <w:rPr>
          <w:color w:val="000000"/>
        </w:rPr>
      </w:pPr>
    </w:p>
    <w:p w:rsidR="00790C08" w:rsidRDefault="000E7629" w:rsidP="00C72D9E">
      <w:pPr>
        <w:pStyle w:val="AralkYok"/>
        <w:jc w:val="both"/>
        <w:rPr>
          <w:rFonts w:cs="Arial"/>
        </w:rPr>
      </w:pPr>
      <w:r>
        <w:rPr>
          <w:b/>
          <w:color w:val="000000"/>
        </w:rPr>
        <w:t>MALULİYET</w:t>
      </w:r>
      <w:r>
        <w:rPr>
          <w:b/>
          <w:color w:val="000000"/>
        </w:rPr>
        <w:tab/>
      </w:r>
      <w:r>
        <w:rPr>
          <w:b/>
          <w:color w:val="000000"/>
        </w:rPr>
        <w:tab/>
        <w:t>:</w:t>
      </w:r>
      <w:r w:rsidR="006F3D15" w:rsidRPr="002B3187">
        <w:rPr>
          <w:rFonts w:cs="Arial"/>
        </w:rPr>
        <w:t>Dosya arasında bulunan</w:t>
      </w:r>
      <w:r w:rsidR="00790C08">
        <w:rPr>
          <w:rFonts w:cs="Arial"/>
        </w:rPr>
        <w:t>;</w:t>
      </w:r>
    </w:p>
    <w:p w:rsidR="00790C08" w:rsidRDefault="00CF1B9F" w:rsidP="00790C08">
      <w:pPr>
        <w:pStyle w:val="AralkYok"/>
        <w:numPr>
          <w:ilvl w:val="0"/>
          <w:numId w:val="16"/>
        </w:numPr>
        <w:jc w:val="both"/>
        <w:rPr>
          <w:rFonts w:cs="Arial"/>
        </w:rPr>
      </w:pPr>
      <w:r>
        <w:rPr>
          <w:rFonts w:cs="Arial"/>
        </w:rPr>
        <w:t xml:space="preserve">…………… </w:t>
      </w:r>
      <w:r w:rsidR="00790C08">
        <w:rPr>
          <w:rFonts w:cs="Arial"/>
        </w:rPr>
        <w:t xml:space="preserve">Adli Tıp Kurumunun 14.03.2017 Tarihli raporunda davacının </w:t>
      </w:r>
      <w:r w:rsidR="00790C08" w:rsidRPr="00790C08">
        <w:rPr>
          <w:rFonts w:cs="Arial"/>
        </w:rPr>
        <w:t>Çalışma Gücü ve Meslekte Kazanma Gücü Kaybı Oranı Tespit İşlemleri Yönetmeliğine</w:t>
      </w:r>
      <w:r w:rsidR="00790C08">
        <w:rPr>
          <w:rFonts w:cs="Arial"/>
        </w:rPr>
        <w:t xml:space="preserve"> göre %10 oranında maluliyetinin bulunduğu, iyileşme sürecinin 3 aya kadar uzayabileceği tespit edilmiştir. </w:t>
      </w:r>
    </w:p>
    <w:p w:rsidR="00790C08" w:rsidRDefault="00790C08" w:rsidP="00790C08">
      <w:pPr>
        <w:pStyle w:val="AralkYok"/>
        <w:numPr>
          <w:ilvl w:val="0"/>
          <w:numId w:val="16"/>
        </w:numPr>
        <w:jc w:val="both"/>
        <w:rPr>
          <w:rFonts w:cs="Arial"/>
        </w:rPr>
      </w:pPr>
      <w:r>
        <w:rPr>
          <w:rFonts w:cs="Arial"/>
        </w:rPr>
        <w:t xml:space="preserve">Adli Tıp Kurumu 3. İhtisas Kurulunun 17.10.2018  Tarihli 19150 sayılı raporunda; kazanın davacıda  sürekli maluliyet tayinine sebep olacak şekilde bir araz bırakmadan iyileştiği, tedavi süresinin 4 aya kadar sürebileceği tespit edilmiştir. </w:t>
      </w:r>
    </w:p>
    <w:p w:rsidR="00790C08" w:rsidRDefault="00790C08" w:rsidP="00790C08">
      <w:pPr>
        <w:pStyle w:val="AralkYok"/>
        <w:numPr>
          <w:ilvl w:val="0"/>
          <w:numId w:val="16"/>
        </w:numPr>
        <w:jc w:val="both"/>
        <w:rPr>
          <w:rFonts w:cs="Arial"/>
        </w:rPr>
      </w:pPr>
      <w:r w:rsidRPr="00790C08">
        <w:rPr>
          <w:rFonts w:cs="Arial"/>
        </w:rPr>
        <w:t xml:space="preserve">Adli Tıp Kurumu 2. Üst Kurulunun 17.10.2019 tarihli 1769 Sayılı raporunda da  </w:t>
      </w:r>
      <w:r>
        <w:rPr>
          <w:rFonts w:cs="Arial"/>
        </w:rPr>
        <w:t xml:space="preserve">kazanın davacıda  sürekli maluliyet tayinine sebep olacak şekilde bir araz bırakmadan iyileştiği, tedavi süresinin 4 aya kadar sürebileceği tespit edilmiştir. Hesaplamada son tarihli ve üst kurul raporu olan iş bu rapor dikkate alınacaktır. </w:t>
      </w:r>
    </w:p>
    <w:p w:rsidR="00FA440B" w:rsidRPr="00C232B7" w:rsidRDefault="00FA440B" w:rsidP="00C232B7">
      <w:pPr>
        <w:pStyle w:val="AralkYok"/>
        <w:jc w:val="both"/>
      </w:pPr>
    </w:p>
    <w:p w:rsidR="00C232B7" w:rsidRPr="009028AB" w:rsidRDefault="00C232B7" w:rsidP="00C232B7">
      <w:pPr>
        <w:pStyle w:val="AralkYok"/>
        <w:jc w:val="both"/>
        <w:rPr>
          <w:b/>
          <w:u w:val="single"/>
        </w:rPr>
      </w:pPr>
      <w:r>
        <w:t xml:space="preserve"> </w:t>
      </w:r>
      <w:r>
        <w:tab/>
      </w:r>
      <w:r w:rsidR="00FA440B" w:rsidRPr="009028AB">
        <w:rPr>
          <w:b/>
          <w:u w:val="single"/>
        </w:rPr>
        <w:t xml:space="preserve">Yargıtay 17 </w:t>
      </w:r>
      <w:proofErr w:type="spellStart"/>
      <w:r w:rsidR="00FA440B" w:rsidRPr="009028AB">
        <w:rPr>
          <w:b/>
          <w:u w:val="single"/>
        </w:rPr>
        <w:t>HD’nin</w:t>
      </w:r>
      <w:proofErr w:type="spellEnd"/>
      <w:r w:rsidR="00FA440B" w:rsidRPr="009028AB">
        <w:rPr>
          <w:b/>
          <w:u w:val="single"/>
        </w:rPr>
        <w:t xml:space="preserve"> 18.02.2019 Tarih, 2016/5966 E. Ve 2019/1563 K. Sayılı İçtihadında ; “ 2-)Somut olayda; %3,3 maluliyeti ile 8 ay iyileşme süresi belirlenen, kaza tarihinde 18 yaşından küçük olan ve geçici iş göremezlik tazminatı da talep edemeyecek olan davacı </w:t>
      </w:r>
      <w:proofErr w:type="spellStart"/>
      <w:r w:rsidR="00FA440B" w:rsidRPr="009028AB">
        <w:rPr>
          <w:b/>
          <w:u w:val="single"/>
        </w:rPr>
        <w:t>Dürdane</w:t>
      </w:r>
      <w:proofErr w:type="spellEnd"/>
      <w:r w:rsidR="00FA440B" w:rsidRPr="009028AB">
        <w:rPr>
          <w:b/>
          <w:u w:val="single"/>
        </w:rPr>
        <w:t xml:space="preserve"> hakkında aktüer bilirkişi raporu ile hesaplanan geçici iş göremezlik tazminatına karar verilmesi isabetli olmamıştır.” Denilerek geçici iş göremezlik tazminatının hesaplanmaması gerektiği</w:t>
      </w:r>
      <w:r w:rsidRPr="009028AB">
        <w:rPr>
          <w:b/>
          <w:u w:val="single"/>
        </w:rPr>
        <w:t xml:space="preserve"> ifade edilmiştir. Bu bağlamda takdiri mahkemeye ait olmak üzere hesaplama yapılacaktır. </w:t>
      </w:r>
    </w:p>
    <w:p w:rsidR="00C232B7" w:rsidRPr="00C232B7" w:rsidRDefault="00C232B7" w:rsidP="00C232B7">
      <w:pPr>
        <w:pStyle w:val="AralkYok"/>
        <w:jc w:val="both"/>
      </w:pPr>
    </w:p>
    <w:p w:rsidR="006F3D15" w:rsidRPr="00617A20" w:rsidRDefault="00C232B7" w:rsidP="002A40AA">
      <w:pPr>
        <w:pStyle w:val="AralkYok"/>
        <w:jc w:val="both"/>
      </w:pPr>
      <w:r>
        <w:t xml:space="preserve"> </w:t>
      </w:r>
      <w:r w:rsidR="006F3D15" w:rsidRPr="00D43F3F">
        <w:rPr>
          <w:rFonts w:cs="Arial"/>
          <w:b/>
        </w:rPr>
        <w:t>AYLIK GELİR</w:t>
      </w:r>
      <w:r w:rsidR="006F3D15" w:rsidRPr="00D43F3F">
        <w:rPr>
          <w:rFonts w:cs="Arial"/>
          <w:b/>
        </w:rPr>
        <w:tab/>
      </w:r>
      <w:r w:rsidR="006F3D15">
        <w:rPr>
          <w:rFonts w:cs="Arial"/>
          <w:b/>
        </w:rPr>
        <w:tab/>
      </w:r>
      <w:r w:rsidR="006F3D15" w:rsidRPr="00D43F3F">
        <w:rPr>
          <w:rFonts w:cs="Arial"/>
          <w:b/>
        </w:rPr>
        <w:t>:</w:t>
      </w:r>
      <w:r w:rsidR="006F3D15">
        <w:rPr>
          <w:rFonts w:cs="Arial"/>
        </w:rPr>
        <w:t xml:space="preserve">Dosya içerisinde davacının gelirine ilişkin bir belge bulunmamaktadır. </w:t>
      </w:r>
      <w:r w:rsidR="002A40AA">
        <w:rPr>
          <w:rFonts w:cs="Arial"/>
        </w:rPr>
        <w:t xml:space="preserve">Bu nedenle asgari ücret dikkate alınarak hesaplama yapılacaktır. Asgari ücret miktarları aşağıda ilgili oldukları alanda gösterilmiştir. </w:t>
      </w:r>
    </w:p>
    <w:p w:rsidR="006F3D15" w:rsidRPr="00D43F3F" w:rsidRDefault="006F3D15" w:rsidP="00C72D9E">
      <w:pPr>
        <w:pStyle w:val="AralkYok"/>
        <w:jc w:val="both"/>
        <w:rPr>
          <w:rFonts w:cs="Arial"/>
        </w:rPr>
      </w:pPr>
    </w:p>
    <w:p w:rsidR="000A5CC1" w:rsidRPr="00D43F3F" w:rsidRDefault="000A5CC1" w:rsidP="00C72D9E">
      <w:pPr>
        <w:pStyle w:val="AralkYok"/>
        <w:jc w:val="both"/>
        <w:rPr>
          <w:rFonts w:cs="Arial"/>
          <w:b/>
        </w:rPr>
      </w:pPr>
      <w:r w:rsidRPr="00D43F3F">
        <w:rPr>
          <w:rFonts w:cs="Arial"/>
          <w:b/>
        </w:rPr>
        <w:t>POLİÇE</w:t>
      </w:r>
      <w:r w:rsidRPr="00D43F3F">
        <w:rPr>
          <w:rFonts w:cs="Arial"/>
          <w:b/>
        </w:rPr>
        <w:tab/>
      </w:r>
      <w:r w:rsidRPr="00D43F3F">
        <w:rPr>
          <w:rFonts w:cs="Arial"/>
          <w:b/>
        </w:rPr>
        <w:tab/>
      </w:r>
      <w:r w:rsidR="00CC5211">
        <w:rPr>
          <w:rFonts w:cs="Arial"/>
          <w:b/>
        </w:rPr>
        <w:tab/>
      </w:r>
      <w:r w:rsidRPr="00D43F3F">
        <w:rPr>
          <w:rFonts w:cs="Arial"/>
          <w:b/>
        </w:rPr>
        <w:t xml:space="preserve">: </w:t>
      </w:r>
      <w:r w:rsidR="006F3D15" w:rsidRPr="002B3187">
        <w:rPr>
          <w:rFonts w:cs="Arial"/>
        </w:rPr>
        <w:t>Davalı</w:t>
      </w:r>
      <w:r w:rsidR="002A40AA">
        <w:rPr>
          <w:rFonts w:cs="Arial"/>
        </w:rPr>
        <w:t xml:space="preserve"> tarafça kazaya karışan araç için 21.05.2015 – 21.05.2016 başlangıç/</w:t>
      </w:r>
      <w:proofErr w:type="spellStart"/>
      <w:r w:rsidR="002A40AA">
        <w:rPr>
          <w:rFonts w:cs="Arial"/>
        </w:rPr>
        <w:t>bitliş</w:t>
      </w:r>
      <w:proofErr w:type="spellEnd"/>
      <w:r w:rsidR="002A40AA">
        <w:rPr>
          <w:rFonts w:cs="Arial"/>
        </w:rPr>
        <w:t xml:space="preserve"> tarihli zorunlu mali mesuliyet sigortasının yapıldığı, </w:t>
      </w:r>
      <w:r w:rsidR="006F3D15" w:rsidRPr="002B3187">
        <w:rPr>
          <w:rFonts w:cs="Arial"/>
        </w:rPr>
        <w:t xml:space="preserve">yaralanma için poliçe limitinin </w:t>
      </w:r>
      <w:r w:rsidR="002A40AA">
        <w:rPr>
          <w:rFonts w:cs="Arial"/>
        </w:rPr>
        <w:t>290</w:t>
      </w:r>
      <w:r w:rsidR="006F3D15" w:rsidRPr="002B3187">
        <w:rPr>
          <w:rFonts w:cs="Arial"/>
        </w:rPr>
        <w:t>.000,00 – TL olduğu görülmüştür.</w:t>
      </w:r>
    </w:p>
    <w:p w:rsidR="004E7D0F" w:rsidRDefault="004E7D0F" w:rsidP="00C72D9E">
      <w:pPr>
        <w:pStyle w:val="AralkYok"/>
        <w:jc w:val="both"/>
        <w:rPr>
          <w:rFonts w:cs="Arial"/>
        </w:rPr>
      </w:pPr>
    </w:p>
    <w:p w:rsidR="004E7D0F" w:rsidRPr="00D43F3F" w:rsidRDefault="004E7D0F" w:rsidP="00B54B04">
      <w:pPr>
        <w:pStyle w:val="AralkYok"/>
        <w:shd w:val="clear" w:color="auto" w:fill="92D050"/>
        <w:jc w:val="center"/>
        <w:rPr>
          <w:rFonts w:cs="Arial"/>
          <w:b/>
        </w:rPr>
      </w:pPr>
      <w:r w:rsidRPr="00D43F3F">
        <w:rPr>
          <w:rFonts w:cs="Arial"/>
          <w:b/>
        </w:rPr>
        <w:t>HESAPLAMA  YÖNTEMİ:</w:t>
      </w:r>
    </w:p>
    <w:p w:rsidR="004E7D0F" w:rsidRPr="00D43F3F" w:rsidRDefault="004E7D0F" w:rsidP="004E7D0F">
      <w:pPr>
        <w:pStyle w:val="AralkYok"/>
        <w:jc w:val="both"/>
        <w:rPr>
          <w:rFonts w:cs="Arial"/>
          <w:b/>
        </w:rPr>
      </w:pPr>
    </w:p>
    <w:p w:rsidR="004E7D0F" w:rsidRPr="00D43F3F" w:rsidRDefault="004E7D0F" w:rsidP="004E7D0F">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 w:val="0"/>
          <w:bdr w:val="none" w:sz="0" w:space="0" w:color="auto" w:frame="1"/>
        </w:rPr>
        <w:t>değişiklik yapılmıştır. Söz konusu</w:t>
      </w:r>
      <w:r w:rsidR="002A40AA">
        <w:rPr>
          <w:rStyle w:val="Gl"/>
          <w:rFonts w:cs="Arial"/>
          <w:b w:val="0"/>
          <w:bdr w:val="none" w:sz="0" w:space="0" w:color="auto" w:frame="1"/>
        </w:rPr>
        <w:t xml:space="preserve"> </w:t>
      </w:r>
      <w:r w:rsidRPr="00D43F3F">
        <w:rPr>
          <w:rFonts w:cs="Arial"/>
        </w:rPr>
        <w:t xml:space="preserve">değişiklikler 26.04.2016 </w:t>
      </w:r>
      <w:r w:rsidRPr="00D43F3F">
        <w:rPr>
          <w:rFonts w:cs="Arial"/>
        </w:rPr>
        <w:lastRenderedPageBreak/>
        <w:t>tarihinde yürürlüğe gir</w:t>
      </w:r>
      <w:r w:rsidR="00DA5547">
        <w:rPr>
          <w:rFonts w:cs="Arial"/>
        </w:rPr>
        <w:t xml:space="preserve">miştir. Poliçe Genel Şartlarında Ek3- 3. Maddesinde TRH 2010 Yaşam Tablosunun kullanılacağı, Ek3 – 4. Maddesinde hesaplamada teknik faizin </w:t>
      </w:r>
      <w:proofErr w:type="gramStart"/>
      <w:r w:rsidR="00DA5547">
        <w:rPr>
          <w:rFonts w:cs="Arial"/>
        </w:rPr>
        <w:t>% 1,8</w:t>
      </w:r>
      <w:proofErr w:type="gramEnd"/>
      <w:r w:rsidR="00DA5547">
        <w:rPr>
          <w:rFonts w:cs="Arial"/>
        </w:rPr>
        <w:t xml:space="preserve"> olarak uygulanacağı, Ek3 – 7. Maddesinde ise sürekli sakatlık tazminatı </w:t>
      </w:r>
      <w:r w:rsidRPr="00D43F3F">
        <w:rPr>
          <w:rFonts w:cs="Arial"/>
        </w:rPr>
        <w:t>hesaplarında hesap yöntemi olarak Aktüeryal Yöntemin kullanılacağı, ax,n annüite formülüne göre</w:t>
      </w:r>
      <w:r w:rsidR="00DE7B0C" w:rsidRPr="00D43F3F">
        <w:rPr>
          <w:rFonts w:cs="Arial"/>
        </w:rPr>
        <w:t xml:space="preserve"> “Devre Başı Ödemeli Belirli Süreli Rant” formülü ile </w:t>
      </w:r>
      <w:r w:rsidRPr="00D43F3F">
        <w:rPr>
          <w:rFonts w:cs="Arial"/>
        </w:rPr>
        <w:t xml:space="preserve">kazanç miktarının tespit edileceği düzenlenmiştir. </w:t>
      </w:r>
      <w:r w:rsidR="00E15972" w:rsidRPr="00D43F3F">
        <w:rPr>
          <w:rFonts w:cs="Arial"/>
        </w:rPr>
        <w:t xml:space="preserve">Dava konusu kaza, </w:t>
      </w:r>
      <w:r w:rsidR="00482873">
        <w:rPr>
          <w:rFonts w:cs="Arial"/>
        </w:rPr>
        <w:t xml:space="preserve">poliçe genel şartlarının değiştiği 01.06.2015 tarihinden sonra </w:t>
      </w:r>
      <w:r w:rsidRPr="00D43F3F">
        <w:rPr>
          <w:rFonts w:cs="Arial"/>
        </w:rPr>
        <w:t xml:space="preserve">meydana gelmiştir. </w:t>
      </w:r>
      <w:r w:rsidR="00E15972" w:rsidRPr="00D43F3F">
        <w:rPr>
          <w:rFonts w:cs="Arial"/>
        </w:rPr>
        <w:t xml:space="preserve">Bu nedenle hesaplama yöntemi olarak Aktüeryal Yöntem esas alınacaktır. Bakiye ömür hesapları da 1,8 Teknik faiz oranı ile belirlenmiş TRH 2010 </w:t>
      </w:r>
      <w:r w:rsidR="00F871B4" w:rsidRPr="00D43F3F">
        <w:rPr>
          <w:rFonts w:cs="Arial"/>
        </w:rPr>
        <w:t xml:space="preserve">Erkek/Kadın </w:t>
      </w:r>
      <w:r w:rsidR="00E15972" w:rsidRPr="00D43F3F">
        <w:rPr>
          <w:rFonts w:cs="Arial"/>
        </w:rPr>
        <w:t xml:space="preserve">tablosuna göre tespit edilecektir. </w:t>
      </w:r>
      <w:r w:rsidR="00482873">
        <w:rPr>
          <w:rFonts w:cs="Arial"/>
        </w:rPr>
        <w:t>Hesaplama formülü olarak annüite hesabında kullanılan;</w:t>
      </w:r>
    </w:p>
    <w:p w:rsidR="002A40AA" w:rsidRDefault="00482873" w:rsidP="00C72D9E">
      <w:pPr>
        <w:pStyle w:val="AralkYok"/>
        <w:jc w:val="both"/>
        <w:rPr>
          <w:rFonts w:cs="Arial"/>
        </w:rPr>
      </w:pPr>
      <w:r w:rsidRPr="00482873">
        <w:rPr>
          <w:rFonts w:cs="Arial"/>
          <w:noProof/>
          <w:lang w:eastAsia="tr-TR"/>
        </w:rPr>
        <w:drawing>
          <wp:inline distT="0" distB="0" distL="0" distR="0">
            <wp:extent cx="1953260" cy="4921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sidR="00F417E1">
        <w:rPr>
          <w:rFonts w:cs="Arial"/>
        </w:rPr>
        <w:t>Formülü</w:t>
      </w:r>
      <w:r>
        <w:rPr>
          <w:rFonts w:cs="Arial"/>
        </w:rPr>
        <w:t xml:space="preserve"> kullanılacaktır. </w:t>
      </w:r>
    </w:p>
    <w:p w:rsidR="002A40AA" w:rsidRDefault="002A40AA" w:rsidP="00C72D9E">
      <w:pPr>
        <w:pStyle w:val="AralkYok"/>
        <w:jc w:val="both"/>
        <w:rPr>
          <w:rFonts w:cs="Arial"/>
          <w:b/>
        </w:rPr>
      </w:pPr>
    </w:p>
    <w:p w:rsidR="004E7D0F" w:rsidRPr="002A40AA" w:rsidRDefault="002A40AA" w:rsidP="00C72D9E">
      <w:pPr>
        <w:pStyle w:val="AralkYok"/>
        <w:jc w:val="both"/>
        <w:rPr>
          <w:rFonts w:cs="Arial"/>
          <w:b/>
        </w:rPr>
      </w:pPr>
      <w:r>
        <w:rPr>
          <w:rFonts w:cs="Arial"/>
          <w:b/>
        </w:rPr>
        <w:t xml:space="preserve">Ancak davacıya sürekli nitelikte iş gücü kayıp oranı tayin edilmediğinden sadece geçici iş göremezlik süresine ilişkin hesaplama yapılacaktır. </w:t>
      </w:r>
    </w:p>
    <w:p w:rsidR="00E51F5B" w:rsidRPr="00D43F3F" w:rsidRDefault="00E51F5B" w:rsidP="004E7D0F">
      <w:pPr>
        <w:pStyle w:val="AralkYok"/>
        <w:jc w:val="center"/>
        <w:rPr>
          <w:rFonts w:cs="Arial"/>
          <w:b/>
        </w:rPr>
      </w:pPr>
    </w:p>
    <w:p w:rsidR="00AA1CFF" w:rsidRPr="00D43F3F" w:rsidRDefault="00AA1CFF" w:rsidP="00B54B04">
      <w:pPr>
        <w:pStyle w:val="AralkYok"/>
        <w:shd w:val="clear" w:color="auto" w:fill="92D050"/>
        <w:jc w:val="center"/>
        <w:rPr>
          <w:rFonts w:cs="Arial"/>
          <w:b/>
        </w:rPr>
      </w:pPr>
      <w:r w:rsidRPr="00D43F3F">
        <w:rPr>
          <w:rFonts w:cs="Arial"/>
          <w:b/>
        </w:rPr>
        <w:t>BAKİYE ÖMÜR, DESTEK SÜRESİ:</w:t>
      </w:r>
    </w:p>
    <w:p w:rsidR="004E7D0F" w:rsidRPr="00D43F3F" w:rsidRDefault="004E7D0F" w:rsidP="004E7D0F">
      <w:pPr>
        <w:pStyle w:val="AralkYok"/>
        <w:jc w:val="center"/>
        <w:rPr>
          <w:rFonts w:cs="Arial"/>
          <w:b/>
        </w:rPr>
      </w:pPr>
    </w:p>
    <w:tbl>
      <w:tblPr>
        <w:tblpPr w:leftFromText="141" w:rightFromText="141"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3055"/>
      </w:tblGrid>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Doğum Tarihi</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r>
              <w:rPr>
                <w:rFonts w:cs="Calibri"/>
              </w:rPr>
              <w:t>11.08.2007</w:t>
            </w:r>
          </w:p>
        </w:tc>
      </w:tr>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Kaza Tarihi</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r>
              <w:rPr>
                <w:rFonts w:cs="Calibri"/>
              </w:rPr>
              <w:t>27.09.2015</w:t>
            </w:r>
          </w:p>
        </w:tc>
      </w:tr>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Hesap Tarihi</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r>
              <w:rPr>
                <w:rFonts w:cs="Calibri"/>
              </w:rPr>
              <w:t>20.04.2020</w:t>
            </w:r>
          </w:p>
        </w:tc>
      </w:tr>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Kaza Tarihindeki Yaşı</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r>
              <w:rPr>
                <w:rFonts w:cs="Calibri"/>
              </w:rPr>
              <w:t xml:space="preserve">8 YIL, 1 AY 18 GÜN </w:t>
            </w:r>
          </w:p>
        </w:tc>
      </w:tr>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PMF 1931 Yaşam Tablosuna Göre Bakiye Ömrü</w:t>
            </w:r>
          </w:p>
        </w:tc>
        <w:tc>
          <w:tcPr>
            <w:tcW w:w="3055" w:type="dxa"/>
            <w:tcBorders>
              <w:left w:val="single" w:sz="4" w:space="0" w:color="auto"/>
            </w:tcBorders>
            <w:shd w:val="clear" w:color="auto" w:fill="DEEAF6"/>
          </w:tcPr>
          <w:p w:rsidR="00B54B04" w:rsidRDefault="00B54B04" w:rsidP="00B54B04">
            <w:pPr>
              <w:pStyle w:val="AralkYok"/>
              <w:jc w:val="both"/>
              <w:rPr>
                <w:rFonts w:cs="Calibri"/>
              </w:rPr>
            </w:pPr>
            <w:r>
              <w:rPr>
                <w:rFonts w:cs="Calibri"/>
              </w:rPr>
              <w:t xml:space="preserve">       -------- </w:t>
            </w:r>
          </w:p>
        </w:tc>
      </w:tr>
      <w:tr w:rsidR="00B54B04" w:rsidRPr="00CC7FBC"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Geçici İş Göremezlik Süresi</w:t>
            </w:r>
          </w:p>
        </w:tc>
        <w:tc>
          <w:tcPr>
            <w:tcW w:w="3055" w:type="dxa"/>
            <w:tcBorders>
              <w:left w:val="single" w:sz="4" w:space="0" w:color="auto"/>
            </w:tcBorders>
            <w:shd w:val="clear" w:color="auto" w:fill="DEEAF6"/>
          </w:tcPr>
          <w:p w:rsidR="00B54B04" w:rsidRPr="00CC7FBC" w:rsidRDefault="00B54B04" w:rsidP="00B54B04">
            <w:pPr>
              <w:pStyle w:val="AralkYok"/>
              <w:ind w:left="369"/>
              <w:jc w:val="both"/>
              <w:rPr>
                <w:rFonts w:cs="Calibri"/>
                <w:b/>
              </w:rPr>
            </w:pPr>
            <w:r w:rsidRPr="00CC7FBC">
              <w:rPr>
                <w:rFonts w:cs="Calibri"/>
                <w:b/>
              </w:rPr>
              <w:t>4 Ay</w:t>
            </w:r>
          </w:p>
        </w:tc>
      </w:tr>
      <w:tr w:rsidR="00B54B04" w:rsidRPr="003B0EDC"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Geçici iş göremezlik süresi sonu</w:t>
            </w:r>
          </w:p>
        </w:tc>
        <w:tc>
          <w:tcPr>
            <w:tcW w:w="3055" w:type="dxa"/>
            <w:tcBorders>
              <w:left w:val="single" w:sz="4" w:space="0" w:color="auto"/>
            </w:tcBorders>
            <w:shd w:val="clear" w:color="auto" w:fill="DEEAF6"/>
          </w:tcPr>
          <w:p w:rsidR="00B54B04" w:rsidRPr="003B0EDC" w:rsidRDefault="00B54B04" w:rsidP="00B54B04">
            <w:pPr>
              <w:pStyle w:val="AralkYok"/>
              <w:ind w:left="369"/>
              <w:jc w:val="both"/>
              <w:rPr>
                <w:rFonts w:cs="Calibri"/>
              </w:rPr>
            </w:pPr>
            <w:r>
              <w:rPr>
                <w:rFonts w:cs="Calibri"/>
              </w:rPr>
              <w:t>27.01.2016</w:t>
            </w:r>
          </w:p>
        </w:tc>
      </w:tr>
      <w:tr w:rsidR="00B54B04" w:rsidTr="00B54B04">
        <w:trPr>
          <w:trHeight w:val="131"/>
        </w:trPr>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İşlemiş Dönem</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r>
              <w:rPr>
                <w:rFonts w:cs="Calibri"/>
              </w:rPr>
              <w:t>4 Ay</w:t>
            </w:r>
          </w:p>
        </w:tc>
      </w:tr>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DAVALI KUSUR ORANI</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proofErr w:type="gramStart"/>
            <w:r>
              <w:rPr>
                <w:rFonts w:cs="Calibri"/>
              </w:rPr>
              <w:t>% 40</w:t>
            </w:r>
            <w:proofErr w:type="gramEnd"/>
          </w:p>
        </w:tc>
      </w:tr>
      <w:tr w:rsidR="00B54B04" w:rsidTr="00B54B04">
        <w:tc>
          <w:tcPr>
            <w:tcW w:w="2440" w:type="dxa"/>
            <w:tcBorders>
              <w:right w:val="single" w:sz="4" w:space="0" w:color="auto"/>
            </w:tcBorders>
            <w:shd w:val="clear" w:color="auto" w:fill="FBE4D5"/>
          </w:tcPr>
          <w:p w:rsidR="00B54B04" w:rsidRDefault="00B54B04" w:rsidP="00B54B04">
            <w:pPr>
              <w:pStyle w:val="AralkYok"/>
              <w:jc w:val="both"/>
              <w:rPr>
                <w:rFonts w:cs="Calibri"/>
                <w:b/>
              </w:rPr>
            </w:pPr>
            <w:r>
              <w:rPr>
                <w:rFonts w:cs="Calibri"/>
                <w:b/>
              </w:rPr>
              <w:t>Maluliyet Oranı</w:t>
            </w:r>
          </w:p>
        </w:tc>
        <w:tc>
          <w:tcPr>
            <w:tcW w:w="3055" w:type="dxa"/>
            <w:tcBorders>
              <w:left w:val="single" w:sz="4" w:space="0" w:color="auto"/>
            </w:tcBorders>
            <w:shd w:val="clear" w:color="auto" w:fill="DEEAF6"/>
          </w:tcPr>
          <w:p w:rsidR="00B54B04" w:rsidRDefault="00B54B04" w:rsidP="00B54B04">
            <w:pPr>
              <w:pStyle w:val="AralkYok"/>
              <w:ind w:left="369"/>
              <w:jc w:val="both"/>
              <w:rPr>
                <w:rFonts w:cs="Calibri"/>
              </w:rPr>
            </w:pPr>
            <w:proofErr w:type="gramStart"/>
            <w:r>
              <w:rPr>
                <w:rFonts w:cs="Calibri"/>
              </w:rPr>
              <w:t>% 0</w:t>
            </w:r>
            <w:proofErr w:type="gramEnd"/>
            <w:r>
              <w:rPr>
                <w:rFonts w:cs="Calibri"/>
              </w:rPr>
              <w:t xml:space="preserve"> </w:t>
            </w:r>
          </w:p>
        </w:tc>
      </w:tr>
    </w:tbl>
    <w:p w:rsidR="002A40AA" w:rsidRDefault="002A40AA" w:rsidP="009A11C9">
      <w:pPr>
        <w:pStyle w:val="AralkYok"/>
        <w:jc w:val="both"/>
        <w:rPr>
          <w:rFonts w:cs="Times New Roman"/>
          <w:u w:val="single"/>
        </w:rPr>
      </w:pPr>
    </w:p>
    <w:p w:rsidR="002A40AA" w:rsidRDefault="002A40AA"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B54B04" w:rsidRDefault="00B54B04" w:rsidP="009A11C9">
      <w:pPr>
        <w:pStyle w:val="AralkYok"/>
        <w:jc w:val="both"/>
        <w:rPr>
          <w:rFonts w:cs="Times New Roman"/>
          <w:u w:val="single"/>
        </w:rPr>
      </w:pPr>
    </w:p>
    <w:p w:rsidR="00030BCC" w:rsidRPr="00D43F3F" w:rsidRDefault="00030BCC" w:rsidP="00B54B04">
      <w:pPr>
        <w:pStyle w:val="AralkYok"/>
        <w:shd w:val="clear" w:color="auto" w:fill="92D050"/>
        <w:jc w:val="center"/>
        <w:rPr>
          <w:rFonts w:cs="Arial"/>
          <w:b/>
        </w:rPr>
      </w:pPr>
      <w:r w:rsidRPr="00D43F3F">
        <w:rPr>
          <w:rFonts w:cs="Arial"/>
          <w:b/>
        </w:rPr>
        <w:t>II – TAZMİNAT HESABI:</w:t>
      </w:r>
    </w:p>
    <w:p w:rsidR="00973C02" w:rsidRPr="00D43F3F" w:rsidRDefault="00973C02" w:rsidP="00265118">
      <w:pPr>
        <w:pStyle w:val="AralkYok"/>
        <w:jc w:val="center"/>
        <w:rPr>
          <w:rFonts w:cs="Arial"/>
          <w:b/>
        </w:rPr>
      </w:pPr>
    </w:p>
    <w:p w:rsidR="00030BCC" w:rsidRPr="00D43F3F" w:rsidRDefault="00030BCC" w:rsidP="00C72D9E">
      <w:pPr>
        <w:pStyle w:val="AralkYok"/>
        <w:jc w:val="both"/>
        <w:rPr>
          <w:rFonts w:cs="Arial"/>
          <w:b/>
        </w:rPr>
      </w:pPr>
      <w:r w:rsidRPr="00D43F3F">
        <w:rPr>
          <w:rFonts w:cs="Arial"/>
          <w:b/>
        </w:rPr>
        <w:t xml:space="preserve">HESAPLAMAYA ESAS KAZANÇLAR: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5F3972" w:rsidP="00CF5F3E">
      <w:pPr>
        <w:ind w:firstLine="708"/>
        <w:jc w:val="both"/>
        <w:rPr>
          <w:rFonts w:cs="Arial"/>
        </w:rPr>
      </w:pPr>
      <w:r w:rsidRPr="00EC2CCC">
        <w:rPr>
          <w:rFonts w:cs="Arial"/>
        </w:rPr>
        <w:t xml:space="preserve">Davacının bilinen işlemiş dönem zararı hesaplanırken kaza geçirmiş olduğu tarihteki asgari ücret üzerinden hesaplama yapılacaktır. Yine yıl değiştikçe yıllara ve dönemlere göre asgari ücret değişmiş ise her dönem için ayrı hesaplama yapılacaktır. Ayrıca işlemiş bilinen dönem zararının hesabında; Adli Tıp Kurumu raporunda davacının sürekli bir maluliyeti olmadığı ve </w:t>
      </w:r>
      <w:r w:rsidR="00B54B04">
        <w:rPr>
          <w:rFonts w:cs="Arial"/>
        </w:rPr>
        <w:t>4</w:t>
      </w:r>
      <w:r w:rsidRPr="00EC2CCC">
        <w:rPr>
          <w:rFonts w:cs="Arial"/>
        </w:rPr>
        <w:t xml:space="preserve"> ay boyunca sürekli olarak iş göremez olduğu belirtildiğine göre yapılacak hesaplamada kaza tarihinden </w:t>
      </w:r>
      <w:r w:rsidR="00B54B04">
        <w:rPr>
          <w:rFonts w:cs="Arial"/>
        </w:rPr>
        <w:t>27.01.2016</w:t>
      </w:r>
      <w:r>
        <w:rPr>
          <w:rFonts w:cs="Arial"/>
        </w:rPr>
        <w:t xml:space="preserve"> </w:t>
      </w:r>
      <w:r w:rsidRPr="00EC2CCC">
        <w:rPr>
          <w:rFonts w:cs="Arial"/>
        </w:rPr>
        <w:t>tarihine kadar geçen sürede (</w:t>
      </w:r>
      <w:r w:rsidR="00B54B04">
        <w:rPr>
          <w:rFonts w:cs="Arial"/>
        </w:rPr>
        <w:t>120</w:t>
      </w:r>
      <w:r>
        <w:rPr>
          <w:rFonts w:cs="Arial"/>
        </w:rPr>
        <w:t xml:space="preserve"> </w:t>
      </w:r>
      <w:r w:rsidRPr="00EC2CCC">
        <w:rPr>
          <w:rFonts w:cs="Arial"/>
        </w:rPr>
        <w:t xml:space="preserve">günlük sürede) davacının maluliyeti </w:t>
      </w:r>
      <w:proofErr w:type="gramStart"/>
      <w:r w:rsidRPr="00EC2CCC">
        <w:rPr>
          <w:rFonts w:cs="Arial"/>
        </w:rPr>
        <w:t>% 100</w:t>
      </w:r>
      <w:proofErr w:type="gramEnd"/>
      <w:r w:rsidRPr="00EC2CCC">
        <w:rPr>
          <w:rFonts w:cs="Arial"/>
        </w:rPr>
        <w:t xml:space="preserve"> olarak kabul edilecek hesaplama bu şekilde bitirilecektir. Davacının işlemiş dönem zararının hesap tablosu aşağıdaki gibidir.</w:t>
      </w:r>
    </w:p>
    <w:p w:rsidR="00C11C23" w:rsidRPr="005F3972" w:rsidRDefault="006E0DC0" w:rsidP="00C72D9E">
      <w:pPr>
        <w:pStyle w:val="AralkYok"/>
        <w:jc w:val="both"/>
        <w:rPr>
          <w:rFonts w:cs="Arial"/>
        </w:rPr>
      </w:pPr>
      <w:r w:rsidRPr="00D43F3F">
        <w:rPr>
          <w:rFonts w:cs="Arial"/>
        </w:rPr>
        <w:t>Buna göre davacı</w:t>
      </w:r>
      <w:r w:rsidR="000E7629">
        <w:rPr>
          <w:rFonts w:cs="Arial"/>
        </w:rPr>
        <w:t xml:space="preserve">nın </w:t>
      </w:r>
      <w:r w:rsidRPr="00D43F3F">
        <w:rPr>
          <w:rFonts w:cs="Arial"/>
        </w:rPr>
        <w:t>bilinen dönem zararları</w:t>
      </w:r>
      <w:r w:rsidR="00C11C23">
        <w:rPr>
          <w:rFonts w:cs="Arial"/>
        </w:rPr>
        <w:t xml:space="preserve"> aşağıdaki tabloda gösterilmiştir:</w:t>
      </w:r>
    </w:p>
    <w:p w:rsidR="00C11C23" w:rsidRDefault="00C11C23" w:rsidP="00C72D9E">
      <w:pPr>
        <w:pStyle w:val="AralkYok"/>
        <w:jc w:val="both"/>
        <w:rPr>
          <w:rFonts w:cs="Times New Roman"/>
          <w:u w:val="single"/>
        </w:rPr>
      </w:pPr>
    </w:p>
    <w:p w:rsidR="009028AB" w:rsidRDefault="009028AB" w:rsidP="00C72D9E">
      <w:pPr>
        <w:pStyle w:val="AralkYok"/>
        <w:jc w:val="both"/>
        <w:rPr>
          <w:rFonts w:cs="Times New Roman"/>
          <w:u w:val="single"/>
        </w:rPr>
      </w:pPr>
    </w:p>
    <w:p w:rsidR="009028AB" w:rsidRDefault="009028AB" w:rsidP="00C72D9E">
      <w:pPr>
        <w:pStyle w:val="AralkYok"/>
        <w:jc w:val="both"/>
        <w:rPr>
          <w:rFonts w:cs="Times New Roman"/>
          <w:u w:val="single"/>
        </w:rPr>
      </w:pPr>
    </w:p>
    <w:p w:rsidR="009028AB" w:rsidRDefault="009028AB" w:rsidP="00C72D9E">
      <w:pPr>
        <w:pStyle w:val="AralkYok"/>
        <w:jc w:val="both"/>
        <w:rPr>
          <w:rFonts w:cs="Times New Roman"/>
          <w:u w:val="single"/>
        </w:rPr>
      </w:pPr>
    </w:p>
    <w:p w:rsidR="00C11C23" w:rsidRDefault="005033CF" w:rsidP="005033CF">
      <w:pPr>
        <w:pStyle w:val="AralkYok"/>
        <w:jc w:val="center"/>
        <w:rPr>
          <w:rFonts w:cs="Times New Roman"/>
          <w:b/>
        </w:rPr>
      </w:pPr>
      <w:r w:rsidRPr="005033CF">
        <w:rPr>
          <w:rFonts w:cs="Times New Roman"/>
          <w:b/>
        </w:rPr>
        <w:t>BİLİNEN DÖNEM HESAP TABLOSU:</w:t>
      </w:r>
    </w:p>
    <w:p w:rsidR="009028AB" w:rsidRPr="005033CF" w:rsidRDefault="009028AB" w:rsidP="005033CF">
      <w:pPr>
        <w:pStyle w:val="AralkYok"/>
        <w:jc w:val="center"/>
        <w:rPr>
          <w:rFonts w:cs="Times New Roman"/>
          <w:b/>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243"/>
        <w:gridCol w:w="707"/>
        <w:gridCol w:w="565"/>
        <w:gridCol w:w="1390"/>
        <w:gridCol w:w="976"/>
        <w:gridCol w:w="1364"/>
        <w:gridCol w:w="1364"/>
      </w:tblGrid>
      <w:tr w:rsidR="00FA440B" w:rsidRPr="00F875ED" w:rsidTr="00FA440B">
        <w:trPr>
          <w:trHeight w:val="244"/>
        </w:trPr>
        <w:tc>
          <w:tcPr>
            <w:tcW w:w="1376" w:type="dxa"/>
            <w:shd w:val="clear" w:color="auto" w:fill="C6D9F1" w:themeFill="text2" w:themeFillTint="33"/>
          </w:tcPr>
          <w:p w:rsidR="00FA440B" w:rsidRPr="005033CF" w:rsidRDefault="00FA440B" w:rsidP="00136B95">
            <w:pPr>
              <w:pStyle w:val="AralkYok"/>
              <w:jc w:val="center"/>
              <w:rPr>
                <w:b/>
                <w:sz w:val="16"/>
                <w:szCs w:val="16"/>
              </w:rPr>
            </w:pPr>
            <w:r w:rsidRPr="005033CF">
              <w:rPr>
                <w:b/>
                <w:sz w:val="16"/>
                <w:szCs w:val="16"/>
              </w:rPr>
              <w:t>YILLAR</w:t>
            </w:r>
          </w:p>
        </w:tc>
        <w:tc>
          <w:tcPr>
            <w:tcW w:w="1243" w:type="dxa"/>
            <w:shd w:val="clear" w:color="auto" w:fill="C6D9F1" w:themeFill="text2" w:themeFillTint="33"/>
          </w:tcPr>
          <w:p w:rsidR="00FA440B" w:rsidRPr="005033CF" w:rsidRDefault="00FA440B" w:rsidP="00136B95">
            <w:pPr>
              <w:pStyle w:val="AralkYok"/>
              <w:jc w:val="center"/>
              <w:rPr>
                <w:b/>
                <w:sz w:val="16"/>
                <w:szCs w:val="16"/>
              </w:rPr>
            </w:pPr>
            <w:r w:rsidRPr="005033CF">
              <w:rPr>
                <w:b/>
                <w:sz w:val="16"/>
                <w:szCs w:val="16"/>
              </w:rPr>
              <w:t>ASGARİ ÜCRET</w:t>
            </w:r>
          </w:p>
        </w:tc>
        <w:tc>
          <w:tcPr>
            <w:tcW w:w="707" w:type="dxa"/>
            <w:shd w:val="clear" w:color="auto" w:fill="C6D9F1" w:themeFill="text2" w:themeFillTint="33"/>
          </w:tcPr>
          <w:p w:rsidR="00FA440B" w:rsidRPr="005033CF" w:rsidRDefault="00FA440B" w:rsidP="00136B95">
            <w:pPr>
              <w:pStyle w:val="AralkYok"/>
              <w:jc w:val="center"/>
              <w:rPr>
                <w:b/>
                <w:sz w:val="16"/>
                <w:szCs w:val="16"/>
              </w:rPr>
            </w:pPr>
            <w:r w:rsidRPr="005033CF">
              <w:rPr>
                <w:b/>
                <w:sz w:val="16"/>
                <w:szCs w:val="16"/>
              </w:rPr>
              <w:t>G</w:t>
            </w:r>
            <w:r>
              <w:rPr>
                <w:b/>
                <w:sz w:val="16"/>
                <w:szCs w:val="16"/>
              </w:rPr>
              <w:t xml:space="preserve">. ÜCRET </w:t>
            </w:r>
          </w:p>
        </w:tc>
        <w:tc>
          <w:tcPr>
            <w:tcW w:w="565" w:type="dxa"/>
            <w:shd w:val="clear" w:color="auto" w:fill="C6D9F1" w:themeFill="text2" w:themeFillTint="33"/>
          </w:tcPr>
          <w:p w:rsidR="00FA440B" w:rsidRPr="005033CF" w:rsidRDefault="00FA440B" w:rsidP="00136B95">
            <w:pPr>
              <w:pStyle w:val="AralkYok"/>
              <w:jc w:val="center"/>
              <w:rPr>
                <w:b/>
                <w:sz w:val="16"/>
                <w:szCs w:val="16"/>
              </w:rPr>
            </w:pPr>
            <w:r>
              <w:rPr>
                <w:b/>
                <w:sz w:val="16"/>
                <w:szCs w:val="16"/>
              </w:rPr>
              <w:t>GÜN</w:t>
            </w:r>
          </w:p>
        </w:tc>
        <w:tc>
          <w:tcPr>
            <w:tcW w:w="1390" w:type="dxa"/>
            <w:shd w:val="clear" w:color="auto" w:fill="C6D9F1" w:themeFill="text2" w:themeFillTint="33"/>
          </w:tcPr>
          <w:p w:rsidR="00FA440B" w:rsidRPr="005033CF" w:rsidRDefault="00FA440B" w:rsidP="00136B95">
            <w:pPr>
              <w:pStyle w:val="AralkYok"/>
              <w:jc w:val="center"/>
              <w:rPr>
                <w:b/>
                <w:sz w:val="16"/>
                <w:szCs w:val="16"/>
              </w:rPr>
            </w:pPr>
            <w:r w:rsidRPr="005033CF">
              <w:rPr>
                <w:b/>
                <w:sz w:val="16"/>
                <w:szCs w:val="16"/>
              </w:rPr>
              <w:t>DÖNEM GELİRİ</w:t>
            </w:r>
          </w:p>
        </w:tc>
        <w:tc>
          <w:tcPr>
            <w:tcW w:w="976" w:type="dxa"/>
            <w:shd w:val="clear" w:color="auto" w:fill="C6D9F1" w:themeFill="text2" w:themeFillTint="33"/>
          </w:tcPr>
          <w:p w:rsidR="00FA440B" w:rsidRPr="005033CF" w:rsidRDefault="00FA440B" w:rsidP="00136B95">
            <w:pPr>
              <w:pStyle w:val="AralkYok"/>
              <w:jc w:val="center"/>
              <w:rPr>
                <w:b/>
                <w:sz w:val="16"/>
                <w:szCs w:val="16"/>
              </w:rPr>
            </w:pPr>
            <w:r w:rsidRPr="005033CF">
              <w:rPr>
                <w:b/>
                <w:sz w:val="16"/>
                <w:szCs w:val="16"/>
              </w:rPr>
              <w:t>MALULİYET ORANI</w:t>
            </w:r>
          </w:p>
        </w:tc>
        <w:tc>
          <w:tcPr>
            <w:tcW w:w="1364" w:type="dxa"/>
            <w:shd w:val="clear" w:color="auto" w:fill="C6D9F1" w:themeFill="text2" w:themeFillTint="33"/>
          </w:tcPr>
          <w:p w:rsidR="00FA440B" w:rsidRPr="005033CF" w:rsidRDefault="00FA440B" w:rsidP="00136B95">
            <w:pPr>
              <w:pStyle w:val="AralkYok"/>
              <w:jc w:val="center"/>
              <w:rPr>
                <w:b/>
                <w:sz w:val="16"/>
                <w:szCs w:val="16"/>
              </w:rPr>
            </w:pPr>
            <w:r w:rsidRPr="005033CF">
              <w:rPr>
                <w:b/>
                <w:sz w:val="16"/>
                <w:szCs w:val="16"/>
              </w:rPr>
              <w:t>MALULİYETE GÖRE PEŞİN DEĞER</w:t>
            </w:r>
          </w:p>
        </w:tc>
        <w:tc>
          <w:tcPr>
            <w:tcW w:w="1364" w:type="dxa"/>
            <w:shd w:val="clear" w:color="auto" w:fill="C6D9F1" w:themeFill="text2" w:themeFillTint="33"/>
          </w:tcPr>
          <w:p w:rsidR="00FA440B" w:rsidRPr="005033CF" w:rsidRDefault="00FA440B" w:rsidP="00136B95">
            <w:pPr>
              <w:pStyle w:val="AralkYok"/>
              <w:jc w:val="center"/>
              <w:rPr>
                <w:b/>
                <w:sz w:val="16"/>
                <w:szCs w:val="16"/>
              </w:rPr>
            </w:pPr>
            <w:r>
              <w:rPr>
                <w:b/>
                <w:sz w:val="16"/>
                <w:szCs w:val="16"/>
              </w:rPr>
              <w:t xml:space="preserve">DAVALI KUSURU %40 </w:t>
            </w:r>
          </w:p>
        </w:tc>
      </w:tr>
      <w:tr w:rsidR="00FA440B" w:rsidRPr="00F875ED" w:rsidTr="00FA440B">
        <w:trPr>
          <w:trHeight w:val="244"/>
        </w:trPr>
        <w:tc>
          <w:tcPr>
            <w:tcW w:w="1376"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 xml:space="preserve">27.09.2015 </w:t>
            </w:r>
          </w:p>
          <w:p w:rsidR="00FA440B" w:rsidRPr="00FA440B" w:rsidRDefault="00FA440B" w:rsidP="00FA440B">
            <w:pPr>
              <w:pStyle w:val="AralkYok"/>
              <w:jc w:val="right"/>
              <w:rPr>
                <w:sz w:val="16"/>
                <w:szCs w:val="16"/>
              </w:rPr>
            </w:pPr>
            <w:r w:rsidRPr="00FA440B">
              <w:rPr>
                <w:sz w:val="16"/>
                <w:szCs w:val="16"/>
              </w:rPr>
              <w:t>31.12.2015</w:t>
            </w:r>
          </w:p>
        </w:tc>
        <w:tc>
          <w:tcPr>
            <w:tcW w:w="1243"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1.000,54</w:t>
            </w:r>
          </w:p>
        </w:tc>
        <w:tc>
          <w:tcPr>
            <w:tcW w:w="707"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33,35</w:t>
            </w:r>
          </w:p>
        </w:tc>
        <w:tc>
          <w:tcPr>
            <w:tcW w:w="565" w:type="dxa"/>
            <w:shd w:val="clear" w:color="auto" w:fill="FDE9D9" w:themeFill="accent6" w:themeFillTint="33"/>
          </w:tcPr>
          <w:p w:rsidR="00FA440B" w:rsidRPr="00FA440B" w:rsidRDefault="00FA440B" w:rsidP="00FA440B">
            <w:pPr>
              <w:pStyle w:val="AralkYok"/>
              <w:jc w:val="right"/>
              <w:rPr>
                <w:rFonts w:cs="Arial"/>
                <w:sz w:val="16"/>
                <w:szCs w:val="16"/>
              </w:rPr>
            </w:pPr>
            <w:r w:rsidRPr="00FA440B">
              <w:rPr>
                <w:rFonts w:cs="Arial"/>
                <w:sz w:val="16"/>
                <w:szCs w:val="16"/>
              </w:rPr>
              <w:t xml:space="preserve">93 </w:t>
            </w:r>
          </w:p>
        </w:tc>
        <w:tc>
          <w:tcPr>
            <w:tcW w:w="1390"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3.101,67</w:t>
            </w:r>
          </w:p>
        </w:tc>
        <w:tc>
          <w:tcPr>
            <w:tcW w:w="976"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%100</w:t>
            </w:r>
          </w:p>
        </w:tc>
        <w:tc>
          <w:tcPr>
            <w:tcW w:w="1364"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3.101,67</w:t>
            </w:r>
          </w:p>
        </w:tc>
        <w:tc>
          <w:tcPr>
            <w:tcW w:w="1364"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1</w:t>
            </w:r>
            <w:r>
              <w:rPr>
                <w:sz w:val="16"/>
                <w:szCs w:val="16"/>
              </w:rPr>
              <w:t>.</w:t>
            </w:r>
            <w:r w:rsidRPr="00FA440B">
              <w:rPr>
                <w:sz w:val="16"/>
                <w:szCs w:val="16"/>
              </w:rPr>
              <w:t>240,66</w:t>
            </w:r>
          </w:p>
        </w:tc>
      </w:tr>
      <w:tr w:rsidR="00FA440B" w:rsidRPr="00F875ED" w:rsidTr="00FA440B">
        <w:trPr>
          <w:trHeight w:val="244"/>
        </w:trPr>
        <w:tc>
          <w:tcPr>
            <w:tcW w:w="1376"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01.01.2016</w:t>
            </w:r>
          </w:p>
          <w:p w:rsidR="00FA440B" w:rsidRPr="00FA440B" w:rsidRDefault="00FA440B" w:rsidP="00FA440B">
            <w:pPr>
              <w:pStyle w:val="AralkYok"/>
              <w:jc w:val="right"/>
              <w:rPr>
                <w:sz w:val="16"/>
                <w:szCs w:val="16"/>
              </w:rPr>
            </w:pPr>
            <w:r w:rsidRPr="00FA440B">
              <w:rPr>
                <w:sz w:val="16"/>
                <w:szCs w:val="16"/>
              </w:rPr>
              <w:t>27.01.2016</w:t>
            </w:r>
          </w:p>
        </w:tc>
        <w:tc>
          <w:tcPr>
            <w:tcW w:w="1243"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1.300,99</w:t>
            </w:r>
          </w:p>
        </w:tc>
        <w:tc>
          <w:tcPr>
            <w:tcW w:w="707"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43,37</w:t>
            </w:r>
          </w:p>
        </w:tc>
        <w:tc>
          <w:tcPr>
            <w:tcW w:w="565"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27</w:t>
            </w:r>
          </w:p>
        </w:tc>
        <w:tc>
          <w:tcPr>
            <w:tcW w:w="1390"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1.170,89</w:t>
            </w:r>
          </w:p>
        </w:tc>
        <w:tc>
          <w:tcPr>
            <w:tcW w:w="976"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%100</w:t>
            </w:r>
          </w:p>
        </w:tc>
        <w:tc>
          <w:tcPr>
            <w:tcW w:w="1364"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1.170,89</w:t>
            </w:r>
          </w:p>
        </w:tc>
        <w:tc>
          <w:tcPr>
            <w:tcW w:w="1364" w:type="dxa"/>
            <w:shd w:val="clear" w:color="auto" w:fill="FDE9D9" w:themeFill="accent6" w:themeFillTint="33"/>
          </w:tcPr>
          <w:p w:rsidR="00FA440B" w:rsidRPr="00FA440B" w:rsidRDefault="00FA440B" w:rsidP="00FA440B">
            <w:pPr>
              <w:pStyle w:val="AralkYok"/>
              <w:jc w:val="right"/>
              <w:rPr>
                <w:sz w:val="16"/>
                <w:szCs w:val="16"/>
              </w:rPr>
            </w:pPr>
            <w:r w:rsidRPr="00FA440B">
              <w:rPr>
                <w:sz w:val="16"/>
                <w:szCs w:val="16"/>
              </w:rPr>
              <w:t>468,35</w:t>
            </w:r>
          </w:p>
        </w:tc>
      </w:tr>
      <w:tr w:rsidR="00FA440B" w:rsidRPr="00F875ED" w:rsidTr="00FA440B">
        <w:trPr>
          <w:trHeight w:val="239"/>
        </w:trPr>
        <w:tc>
          <w:tcPr>
            <w:tcW w:w="1376" w:type="dxa"/>
            <w:shd w:val="clear" w:color="auto" w:fill="FDE9D9" w:themeFill="accent6" w:themeFillTint="33"/>
          </w:tcPr>
          <w:p w:rsidR="00FA440B" w:rsidRPr="00FA440B" w:rsidRDefault="00FA440B" w:rsidP="00FA440B">
            <w:pPr>
              <w:pStyle w:val="AralkYok"/>
              <w:jc w:val="right"/>
              <w:rPr>
                <w:sz w:val="16"/>
                <w:szCs w:val="16"/>
              </w:rPr>
            </w:pPr>
          </w:p>
        </w:tc>
        <w:tc>
          <w:tcPr>
            <w:tcW w:w="1243" w:type="dxa"/>
            <w:shd w:val="clear" w:color="auto" w:fill="FDE9D9" w:themeFill="accent6" w:themeFillTint="33"/>
          </w:tcPr>
          <w:p w:rsidR="00FA440B" w:rsidRPr="00FA440B" w:rsidRDefault="00FA440B" w:rsidP="00FA440B">
            <w:pPr>
              <w:pStyle w:val="AralkYok"/>
              <w:jc w:val="right"/>
              <w:rPr>
                <w:sz w:val="16"/>
                <w:szCs w:val="16"/>
              </w:rPr>
            </w:pPr>
          </w:p>
        </w:tc>
        <w:tc>
          <w:tcPr>
            <w:tcW w:w="707" w:type="dxa"/>
            <w:shd w:val="clear" w:color="auto" w:fill="FDE9D9" w:themeFill="accent6" w:themeFillTint="33"/>
          </w:tcPr>
          <w:p w:rsidR="00FA440B" w:rsidRPr="00FA440B" w:rsidRDefault="00FA440B" w:rsidP="00FA440B">
            <w:pPr>
              <w:pStyle w:val="AralkYok"/>
              <w:jc w:val="right"/>
              <w:rPr>
                <w:sz w:val="16"/>
                <w:szCs w:val="16"/>
              </w:rPr>
            </w:pPr>
          </w:p>
        </w:tc>
        <w:tc>
          <w:tcPr>
            <w:tcW w:w="565" w:type="dxa"/>
            <w:shd w:val="clear" w:color="auto" w:fill="FDE9D9" w:themeFill="accent6" w:themeFillTint="33"/>
          </w:tcPr>
          <w:p w:rsidR="00FA440B" w:rsidRPr="00FA440B" w:rsidRDefault="00FA440B" w:rsidP="00FA440B">
            <w:pPr>
              <w:pStyle w:val="AralkYok"/>
              <w:jc w:val="right"/>
              <w:rPr>
                <w:sz w:val="16"/>
                <w:szCs w:val="16"/>
              </w:rPr>
            </w:pPr>
          </w:p>
        </w:tc>
        <w:tc>
          <w:tcPr>
            <w:tcW w:w="1390" w:type="dxa"/>
            <w:shd w:val="clear" w:color="auto" w:fill="FDE9D9" w:themeFill="accent6" w:themeFillTint="33"/>
          </w:tcPr>
          <w:p w:rsidR="00FA440B" w:rsidRPr="00FA440B" w:rsidRDefault="00FA440B" w:rsidP="00FA440B">
            <w:pPr>
              <w:pStyle w:val="AralkYok"/>
              <w:jc w:val="right"/>
              <w:rPr>
                <w:b/>
                <w:sz w:val="16"/>
                <w:szCs w:val="16"/>
              </w:rPr>
            </w:pPr>
            <w:r w:rsidRPr="00FA440B">
              <w:rPr>
                <w:b/>
                <w:sz w:val="16"/>
                <w:szCs w:val="16"/>
              </w:rPr>
              <w:t>TOPLAM</w:t>
            </w:r>
          </w:p>
        </w:tc>
        <w:tc>
          <w:tcPr>
            <w:tcW w:w="976" w:type="dxa"/>
            <w:shd w:val="clear" w:color="auto" w:fill="FDE9D9" w:themeFill="accent6" w:themeFillTint="33"/>
          </w:tcPr>
          <w:p w:rsidR="00FA440B" w:rsidRPr="00FA440B" w:rsidRDefault="00FA440B" w:rsidP="00FA440B">
            <w:pPr>
              <w:pStyle w:val="AralkYok"/>
              <w:jc w:val="right"/>
              <w:rPr>
                <w:b/>
                <w:sz w:val="16"/>
                <w:szCs w:val="16"/>
              </w:rPr>
            </w:pPr>
          </w:p>
        </w:tc>
        <w:tc>
          <w:tcPr>
            <w:tcW w:w="1364" w:type="dxa"/>
            <w:shd w:val="clear" w:color="auto" w:fill="FDE9D9" w:themeFill="accent6" w:themeFillTint="33"/>
          </w:tcPr>
          <w:p w:rsidR="00FA440B" w:rsidRPr="00FA440B" w:rsidRDefault="00FA440B" w:rsidP="00FA440B">
            <w:pPr>
              <w:pStyle w:val="AralkYok"/>
              <w:jc w:val="right"/>
              <w:rPr>
                <w:color w:val="000000"/>
                <w:sz w:val="16"/>
                <w:szCs w:val="16"/>
              </w:rPr>
            </w:pPr>
            <w:r w:rsidRPr="00FA440B">
              <w:rPr>
                <w:color w:val="000000"/>
                <w:sz w:val="16"/>
                <w:szCs w:val="16"/>
              </w:rPr>
              <w:t>4.272,56</w:t>
            </w:r>
          </w:p>
        </w:tc>
        <w:tc>
          <w:tcPr>
            <w:tcW w:w="1364" w:type="dxa"/>
            <w:shd w:val="clear" w:color="auto" w:fill="FDE9D9" w:themeFill="accent6" w:themeFillTint="33"/>
          </w:tcPr>
          <w:p w:rsidR="00FA440B" w:rsidRPr="00FA440B" w:rsidRDefault="00FA440B" w:rsidP="00FA440B">
            <w:pPr>
              <w:pStyle w:val="AralkYok"/>
              <w:jc w:val="right"/>
              <w:rPr>
                <w:b/>
                <w:sz w:val="16"/>
                <w:szCs w:val="16"/>
              </w:rPr>
            </w:pPr>
            <w:r w:rsidRPr="00FA440B">
              <w:rPr>
                <w:b/>
                <w:sz w:val="16"/>
                <w:szCs w:val="16"/>
              </w:rPr>
              <w:t>1</w:t>
            </w:r>
            <w:r>
              <w:rPr>
                <w:b/>
                <w:sz w:val="16"/>
                <w:szCs w:val="16"/>
              </w:rPr>
              <w:t>.</w:t>
            </w:r>
            <w:r w:rsidRPr="00FA440B">
              <w:rPr>
                <w:b/>
                <w:sz w:val="16"/>
                <w:szCs w:val="16"/>
              </w:rPr>
              <w:t>709,02</w:t>
            </w:r>
          </w:p>
        </w:tc>
      </w:tr>
    </w:tbl>
    <w:p w:rsidR="00973C02" w:rsidRPr="00D43F3F" w:rsidRDefault="00973C02" w:rsidP="00C72D9E">
      <w:pPr>
        <w:pStyle w:val="AralkYok"/>
        <w:jc w:val="both"/>
        <w:rPr>
          <w:rFonts w:cs="Times New Roman"/>
          <w:u w:val="single"/>
        </w:rPr>
      </w:pPr>
    </w:p>
    <w:p w:rsidR="00F752BB" w:rsidRPr="00D43F3F" w:rsidRDefault="00F752BB" w:rsidP="00C72D9E">
      <w:pPr>
        <w:pStyle w:val="AralkYok"/>
        <w:jc w:val="both"/>
        <w:rPr>
          <w:rFonts w:cs="Times New Roman"/>
          <w:b/>
        </w:rPr>
      </w:pPr>
    </w:p>
    <w:p w:rsidR="00030BCC" w:rsidRPr="00FA440B" w:rsidRDefault="00030BCC" w:rsidP="00FA440B">
      <w:pPr>
        <w:pStyle w:val="AralkYok"/>
        <w:jc w:val="both"/>
        <w:rPr>
          <w:b/>
        </w:rPr>
      </w:pPr>
      <w:r w:rsidRPr="00FA440B">
        <w:rPr>
          <w:b/>
        </w:rPr>
        <w:t xml:space="preserve">2. İşleyecek Dönem: </w:t>
      </w:r>
    </w:p>
    <w:p w:rsidR="005F3972" w:rsidRPr="00EC2CCC" w:rsidRDefault="00C75E95" w:rsidP="00FA440B">
      <w:pPr>
        <w:pStyle w:val="AralkYok"/>
        <w:jc w:val="both"/>
      </w:pPr>
      <w:r w:rsidRPr="00D43F3F">
        <w:tab/>
      </w:r>
      <w:r w:rsidR="005F3972" w:rsidRPr="00EC2CCC">
        <w:t xml:space="preserve">Davacıda sürekli bir maluliyet tespit edilmediğinden bilinmeyen dönem hesabı yapılmayacaktır. </w:t>
      </w:r>
    </w:p>
    <w:p w:rsidR="00556694" w:rsidRDefault="00556694" w:rsidP="005F3972">
      <w:pPr>
        <w:pStyle w:val="AralkYok"/>
        <w:jc w:val="both"/>
        <w:rPr>
          <w:rFonts w:cs="Arial"/>
          <w:b/>
        </w:rPr>
      </w:pPr>
    </w:p>
    <w:p w:rsidR="005331F9" w:rsidRDefault="00614913" w:rsidP="005F3972">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556694" w:rsidRDefault="00556694" w:rsidP="005F3972">
      <w:pPr>
        <w:pStyle w:val="AralkYok"/>
        <w:jc w:val="both"/>
        <w:rPr>
          <w:rFonts w:cs="Arial"/>
        </w:rPr>
      </w:pPr>
    </w:p>
    <w:p w:rsidR="005331F9" w:rsidRDefault="005331F9" w:rsidP="005331F9">
      <w:pPr>
        <w:pStyle w:val="AralkYok"/>
        <w:numPr>
          <w:ilvl w:val="0"/>
          <w:numId w:val="14"/>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5331F9" w:rsidRDefault="005331F9" w:rsidP="005331F9">
      <w:pPr>
        <w:pStyle w:val="AralkYok"/>
        <w:numPr>
          <w:ilvl w:val="0"/>
          <w:numId w:val="14"/>
        </w:numPr>
        <w:jc w:val="both"/>
        <w:rPr>
          <w:rFonts w:cs="Arial"/>
        </w:rPr>
      </w:pPr>
      <w:r>
        <w:rPr>
          <w:rFonts w:cs="Arial"/>
        </w:rPr>
        <w:t xml:space="preserve">Poliçe Genel Şartları Ek3. Maddesinin 3, 4, ve 7. Maddesi uyarınca hesaplamanın </w:t>
      </w:r>
      <w:r w:rsidRPr="003E5375">
        <w:rPr>
          <w:rFonts w:cs="Arial"/>
        </w:rPr>
        <w:t>“ Devre Ba</w:t>
      </w:r>
      <w:r>
        <w:rPr>
          <w:rFonts w:cs="Arial"/>
        </w:rPr>
        <w:t xml:space="preserve">şı Ödemeli Belirli Süreli Rant”, %1,8 Teknik Faiz ve TRH 2010 Erkek Tablosu kullanılarak yapılması gerektiğine, </w:t>
      </w:r>
    </w:p>
    <w:p w:rsidR="001E3633" w:rsidRPr="009028AB" w:rsidRDefault="005331F9" w:rsidP="009028AB">
      <w:pPr>
        <w:pStyle w:val="AralkYok"/>
        <w:numPr>
          <w:ilvl w:val="0"/>
          <w:numId w:val="14"/>
        </w:numPr>
        <w:jc w:val="both"/>
        <w:rPr>
          <w:rFonts w:cs="Arial"/>
        </w:rPr>
      </w:pPr>
      <w:r>
        <w:rPr>
          <w:rFonts w:cs="Arial"/>
        </w:rPr>
        <w:t xml:space="preserve">Poliçe Genel Şartlarında belirtilen usulle hesaplama yapıldığında davacının talep edebileceği </w:t>
      </w:r>
      <w:r w:rsidR="00FA440B">
        <w:rPr>
          <w:rFonts w:cs="Arial"/>
        </w:rPr>
        <w:t xml:space="preserve">geçici iş göremezlik zararı </w:t>
      </w:r>
      <w:r>
        <w:rPr>
          <w:rFonts w:cs="Arial"/>
        </w:rPr>
        <w:t xml:space="preserve">miktarının </w:t>
      </w:r>
      <w:r w:rsidR="00FA440B">
        <w:rPr>
          <w:rFonts w:eastAsia="Times New Roman" w:cs="Times New Roman"/>
          <w:b/>
          <w:color w:val="000000"/>
          <w:lang w:eastAsia="tr-TR"/>
        </w:rPr>
        <w:t>1.709,02</w:t>
      </w:r>
      <w:r w:rsidR="005F3972">
        <w:rPr>
          <w:rFonts w:eastAsia="Times New Roman" w:cs="Times New Roman"/>
          <w:b/>
          <w:color w:val="000000"/>
          <w:lang w:eastAsia="tr-TR"/>
        </w:rPr>
        <w:t xml:space="preserve"> </w:t>
      </w:r>
      <w:r w:rsidRPr="00162729">
        <w:rPr>
          <w:rFonts w:ascii="Calibri" w:eastAsia="Times New Roman" w:hAnsi="Calibri" w:cs="Times New Roman"/>
          <w:b/>
          <w:color w:val="000000"/>
          <w:lang w:eastAsia="tr-TR"/>
        </w:rPr>
        <w:t>TL</w:t>
      </w:r>
      <w:r w:rsidRPr="005331F9">
        <w:rPr>
          <w:rFonts w:ascii="Calibri" w:eastAsia="Times New Roman" w:hAnsi="Calibri" w:cs="Times New Roman"/>
          <w:color w:val="000000"/>
          <w:lang w:eastAsia="tr-TR"/>
        </w:rPr>
        <w:t xml:space="preserve"> olduğuna</w:t>
      </w:r>
      <w:r>
        <w:rPr>
          <w:rFonts w:ascii="Calibri" w:eastAsia="Times New Roman" w:hAnsi="Calibri" w:cs="Times New Roman"/>
          <w:color w:val="000000"/>
          <w:lang w:eastAsia="tr-TR"/>
        </w:rPr>
        <w:t>,</w:t>
      </w:r>
      <w:r w:rsidR="00556694">
        <w:rPr>
          <w:rFonts w:ascii="Calibri" w:eastAsia="Times New Roman" w:hAnsi="Calibri" w:cs="Times New Roman"/>
          <w:color w:val="000000"/>
          <w:lang w:eastAsia="tr-TR"/>
        </w:rPr>
        <w:t xml:space="preserve"> </w:t>
      </w:r>
      <w:r w:rsidR="00F668D7" w:rsidRPr="00D43F3F">
        <w:rPr>
          <w:rFonts w:cs="Arial"/>
        </w:rPr>
        <w:t>bu miktarın poliçe limiti içinde kaldığı</w:t>
      </w:r>
      <w:r>
        <w:rPr>
          <w:rFonts w:cs="Arial"/>
        </w:rPr>
        <w:t>na</w:t>
      </w:r>
      <w:r w:rsidR="00FA440B">
        <w:rPr>
          <w:rFonts w:cs="Arial"/>
        </w:rPr>
        <w:t>,</w:t>
      </w:r>
      <w:r>
        <w:rPr>
          <w:rFonts w:cs="Arial"/>
        </w:rPr>
        <w:t xml:space="preserve"> </w:t>
      </w:r>
      <w:r w:rsidR="009028AB">
        <w:rPr>
          <w:rFonts w:cs="Arial"/>
        </w:rPr>
        <w:t xml:space="preserve">hukuki takdir ve değerlendirme mahkemeye ait olmak üzere </w:t>
      </w:r>
      <w:r w:rsidR="00166BD3" w:rsidRPr="009028AB">
        <w:rPr>
          <w:rFonts w:cs="Arial"/>
        </w:rPr>
        <w:t>görüş ve kanaatiyle iş bu rapor takdirlerinize arz olunur.</w:t>
      </w:r>
      <w:r w:rsidR="009028AB">
        <w:rPr>
          <w:rFonts w:cs="Arial"/>
        </w:rPr>
        <w:t>20.04.2020</w:t>
      </w:r>
    </w:p>
    <w:p w:rsidR="000043B6" w:rsidRPr="00D43F3F" w:rsidRDefault="00166BD3" w:rsidP="00C72D9E">
      <w:pPr>
        <w:pStyle w:val="AralkYok"/>
        <w:jc w:val="both"/>
        <w:rPr>
          <w:rFonts w:eastAsia="Times New Roman" w:cs="Arial"/>
          <w:iCs/>
          <w:color w:val="222222"/>
          <w:lang w:eastAsia="tr-TR"/>
        </w:rPr>
      </w:pPr>
      <w:r w:rsidRPr="00D43F3F">
        <w:rPr>
          <w:rFonts w:eastAsia="Times New Roman" w:cs="Arial"/>
          <w:iCs/>
          <w:color w:val="222222"/>
          <w:lang w:eastAsia="tr-TR"/>
        </w:rPr>
        <w:tab/>
      </w:r>
      <w:r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p>
    <w:p w:rsidR="00556694" w:rsidRDefault="00556694"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p>
    <w:p w:rsidR="001E3633" w:rsidRDefault="00614913" w:rsidP="000043B6">
      <w:pPr>
        <w:pStyle w:val="AralkYok"/>
        <w:ind w:left="4956" w:firstLine="708"/>
        <w:jc w:val="both"/>
        <w:rPr>
          <w:rFonts w:eastAsia="Times New Roman" w:cs="Arial"/>
          <w:b/>
          <w:iCs/>
          <w:color w:val="222222"/>
          <w:lang w:eastAsia="tr-TR"/>
        </w:rPr>
      </w:pPr>
      <w:r w:rsidRPr="00D43F3F">
        <w:rPr>
          <w:rFonts w:eastAsia="Times New Roman" w:cs="Arial"/>
          <w:b/>
          <w:iCs/>
          <w:color w:val="222222"/>
          <w:lang w:eastAsia="tr-TR"/>
        </w:rPr>
        <w:t>Av. Hasan ALDANMAZ</w:t>
      </w:r>
    </w:p>
    <w:p w:rsidR="00556694" w:rsidRPr="00D43F3F" w:rsidRDefault="00556694"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(Sicil No:</w:t>
      </w:r>
      <w:r w:rsidR="00CF1B9F">
        <w:rPr>
          <w:rFonts w:eastAsia="Times New Roman" w:cs="Arial"/>
          <w:b/>
          <w:iCs/>
          <w:color w:val="222222"/>
          <w:lang w:eastAsia="tr-TR"/>
        </w:rPr>
        <w:t>…………..</w:t>
      </w:r>
      <w:bookmarkStart w:id="0" w:name="_GoBack"/>
      <w:bookmarkEnd w:id="0"/>
      <w:r>
        <w:rPr>
          <w:rFonts w:eastAsia="Times New Roman" w:cs="Arial"/>
          <w:b/>
          <w:iCs/>
          <w:color w:val="222222"/>
          <w:lang w:eastAsia="tr-TR"/>
        </w:rPr>
        <w:t>)</w:t>
      </w:r>
    </w:p>
    <w:p w:rsidR="000043B6" w:rsidRPr="00D43F3F" w:rsidRDefault="000043B6" w:rsidP="000043B6">
      <w:pPr>
        <w:pStyle w:val="AralkYok"/>
        <w:ind w:left="4956" w:firstLine="708"/>
        <w:jc w:val="both"/>
        <w:rPr>
          <w:rFonts w:eastAsia="Times New Roman" w:cs="Arial"/>
          <w:iCs/>
          <w:color w:val="222222"/>
          <w:lang w:eastAsia="tr-TR"/>
        </w:rPr>
      </w:pPr>
    </w:p>
    <w:p w:rsidR="000043B6" w:rsidRDefault="000043B6"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Default="00162729" w:rsidP="000043B6">
      <w:pPr>
        <w:pStyle w:val="AralkYok"/>
        <w:ind w:left="4956" w:firstLine="708"/>
        <w:jc w:val="both"/>
        <w:rPr>
          <w:rFonts w:eastAsia="Times New Roman" w:cs="Arial"/>
          <w:iCs/>
          <w:color w:val="222222"/>
          <w:lang w:eastAsia="tr-TR"/>
        </w:rPr>
      </w:pPr>
    </w:p>
    <w:p w:rsidR="00162729" w:rsidRPr="00D43F3F" w:rsidRDefault="00162729" w:rsidP="000043B6">
      <w:pPr>
        <w:pStyle w:val="AralkYok"/>
        <w:ind w:left="4956" w:firstLine="708"/>
        <w:jc w:val="both"/>
        <w:rPr>
          <w:rFonts w:eastAsia="Times New Roman" w:cs="Arial"/>
          <w:iCs/>
          <w:color w:val="222222"/>
          <w:lang w:eastAsia="tr-TR"/>
        </w:rPr>
      </w:pPr>
    </w:p>
    <w:p w:rsidR="00162729" w:rsidRDefault="00A35F92" w:rsidP="00C72D9E">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p>
    <w:p w:rsidR="00162729" w:rsidRDefault="004324B2" w:rsidP="00162729">
      <w:pPr>
        <w:pStyle w:val="AralkYok"/>
        <w:numPr>
          <w:ilvl w:val="0"/>
          <w:numId w:val="15"/>
        </w:numPr>
        <w:jc w:val="both"/>
        <w:rPr>
          <w:rFonts w:eastAsia="Times New Roman" w:cs="Arial"/>
          <w:iCs/>
          <w:color w:val="222222"/>
          <w:lang w:eastAsia="tr-TR"/>
        </w:rPr>
      </w:pPr>
      <w:r w:rsidRPr="00D43F3F">
        <w:rPr>
          <w:rFonts w:eastAsia="Times New Roman" w:cs="Arial"/>
          <w:iCs/>
          <w:color w:val="222222"/>
          <w:lang w:eastAsia="tr-TR"/>
        </w:rPr>
        <w:t xml:space="preserve">Bir </w:t>
      </w:r>
      <w:r w:rsidR="00162729">
        <w:rPr>
          <w:rFonts w:eastAsia="Times New Roman" w:cs="Arial"/>
          <w:iCs/>
          <w:color w:val="222222"/>
          <w:lang w:eastAsia="tr-TR"/>
        </w:rPr>
        <w:t>adet dava dosyası tomarı</w:t>
      </w:r>
    </w:p>
    <w:p w:rsidR="00B4371F" w:rsidRDefault="00B4371F" w:rsidP="00162729">
      <w:pPr>
        <w:pStyle w:val="AralkYok"/>
        <w:ind w:left="720"/>
        <w:jc w:val="both"/>
        <w:rPr>
          <w:rFonts w:eastAsia="Times New Roman" w:cs="Arial"/>
          <w:iCs/>
          <w:color w:val="222222"/>
          <w:lang w:eastAsia="tr-TR"/>
        </w:rPr>
      </w:pPr>
    </w:p>
    <w:sectPr w:rsidR="00B4371F" w:rsidSect="006053E5">
      <w:headerReference w:type="default" r:id="rId8"/>
      <w:footerReference w:type="default" r:id="rId9"/>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533" w:rsidRDefault="009C4533" w:rsidP="007254A5">
      <w:r>
        <w:separator/>
      </w:r>
    </w:p>
  </w:endnote>
  <w:endnote w:type="continuationSeparator" w:id="0">
    <w:p w:rsidR="009C4533" w:rsidRDefault="009C4533"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1F" w:rsidRPr="00D43F3F" w:rsidRDefault="00B4371F">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B4371F" w:rsidRPr="00D43F3F" w:rsidRDefault="00B4371F">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B4371F" w:rsidRPr="00D43F3F" w:rsidRDefault="009C4533">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B4371F" w:rsidRPr="00D43F3F">
        <w:rPr>
          <w:rStyle w:val="Kpr"/>
          <w:rFonts w:asciiTheme="majorHAnsi" w:hAnsiTheme="majorHAnsi"/>
          <w:i/>
          <w:color w:val="E36C0A" w:themeColor="accent6" w:themeShade="BF"/>
        </w:rPr>
        <w:t>hasanaldanmaz@hotmail.com</w:t>
      </w:r>
    </w:hyperlink>
    <w:r w:rsidR="00B4371F" w:rsidRPr="00D43F3F">
      <w:rPr>
        <w:rFonts w:asciiTheme="majorHAnsi" w:hAnsiTheme="majorHAnsi"/>
        <w:i/>
        <w:color w:val="E36C0A" w:themeColor="accent6" w:themeShade="BF"/>
      </w:rPr>
      <w:t xml:space="preserve"> 0434 827 33 03</w:t>
    </w:r>
    <w:r w:rsidR="00B4371F" w:rsidRPr="00D43F3F">
      <w:rPr>
        <w:rFonts w:asciiTheme="majorHAnsi" w:hAnsiTheme="majorHAnsi"/>
        <w:i/>
        <w:color w:val="E36C0A" w:themeColor="accent6" w:themeShade="BF"/>
      </w:rPr>
      <w:ptab w:relativeTo="margin" w:alignment="right" w:leader="none"/>
    </w:r>
    <w:r w:rsidR="00B4371F" w:rsidRPr="00D43F3F">
      <w:rPr>
        <w:rFonts w:asciiTheme="majorHAnsi" w:hAnsiTheme="majorHAnsi"/>
        <w:i/>
        <w:color w:val="E36C0A" w:themeColor="accent6" w:themeShade="BF"/>
      </w:rPr>
      <w:t xml:space="preserve">Sayfa </w:t>
    </w:r>
    <w:r w:rsidR="003F6FE8" w:rsidRPr="00D43F3F">
      <w:rPr>
        <w:i/>
        <w:color w:val="E36C0A" w:themeColor="accent6" w:themeShade="BF"/>
      </w:rPr>
      <w:fldChar w:fldCharType="begin"/>
    </w:r>
    <w:r w:rsidR="00B4371F" w:rsidRPr="00D43F3F">
      <w:rPr>
        <w:i/>
        <w:color w:val="E36C0A" w:themeColor="accent6" w:themeShade="BF"/>
      </w:rPr>
      <w:instrText xml:space="preserve"> PAGE   \* MERGEFORMAT </w:instrText>
    </w:r>
    <w:r w:rsidR="003F6FE8" w:rsidRPr="00D43F3F">
      <w:rPr>
        <w:i/>
        <w:color w:val="E36C0A" w:themeColor="accent6" w:themeShade="BF"/>
      </w:rPr>
      <w:fldChar w:fldCharType="separate"/>
    </w:r>
    <w:r w:rsidR="00556694" w:rsidRPr="00556694">
      <w:rPr>
        <w:rFonts w:asciiTheme="majorHAnsi" w:hAnsiTheme="majorHAnsi"/>
        <w:i/>
        <w:noProof/>
        <w:color w:val="E36C0A" w:themeColor="accent6" w:themeShade="BF"/>
      </w:rPr>
      <w:t>1</w:t>
    </w:r>
    <w:r w:rsidR="003F6FE8" w:rsidRPr="00D43F3F">
      <w:rPr>
        <w:i/>
        <w:color w:val="E36C0A" w:themeColor="accent6" w:themeShade="BF"/>
      </w:rPr>
      <w:fldChar w:fldCharType="end"/>
    </w:r>
  </w:p>
  <w:p w:rsidR="00B4371F" w:rsidRDefault="00B437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533" w:rsidRDefault="009C4533" w:rsidP="007254A5">
      <w:r>
        <w:separator/>
      </w:r>
    </w:p>
  </w:footnote>
  <w:footnote w:type="continuationSeparator" w:id="0">
    <w:p w:rsidR="009C4533" w:rsidRDefault="009C4533"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B4371F" w:rsidRDefault="00B4371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B4371F" w:rsidRDefault="00B437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C80303D"/>
    <w:multiLevelType w:val="hybridMultilevel"/>
    <w:tmpl w:val="A594C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1"/>
  </w:num>
  <w:num w:numId="5">
    <w:abstractNumId w:val="7"/>
  </w:num>
  <w:num w:numId="6">
    <w:abstractNumId w:val="15"/>
  </w:num>
  <w:num w:numId="7">
    <w:abstractNumId w:val="11"/>
  </w:num>
  <w:num w:numId="8">
    <w:abstractNumId w:val="2"/>
  </w:num>
  <w:num w:numId="9">
    <w:abstractNumId w:val="4"/>
  </w:num>
  <w:num w:numId="10">
    <w:abstractNumId w:val="9"/>
  </w:num>
  <w:num w:numId="11">
    <w:abstractNumId w:val="13"/>
  </w:num>
  <w:num w:numId="12">
    <w:abstractNumId w:val="0"/>
  </w:num>
  <w:num w:numId="13">
    <w:abstractNumId w:val="6"/>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02BA5"/>
    <w:rsid w:val="000043B6"/>
    <w:rsid w:val="00020559"/>
    <w:rsid w:val="00021D94"/>
    <w:rsid w:val="00030BCC"/>
    <w:rsid w:val="000526D1"/>
    <w:rsid w:val="00080A36"/>
    <w:rsid w:val="000A1665"/>
    <w:rsid w:val="000A23F2"/>
    <w:rsid w:val="000A5CC1"/>
    <w:rsid w:val="000C410A"/>
    <w:rsid w:val="000D4BAC"/>
    <w:rsid w:val="000D6D73"/>
    <w:rsid w:val="000E6684"/>
    <w:rsid w:val="000E7629"/>
    <w:rsid w:val="000F6D74"/>
    <w:rsid w:val="00114EB3"/>
    <w:rsid w:val="001177E6"/>
    <w:rsid w:val="00135AAC"/>
    <w:rsid w:val="00136B95"/>
    <w:rsid w:val="0013705A"/>
    <w:rsid w:val="00145623"/>
    <w:rsid w:val="00153214"/>
    <w:rsid w:val="00162729"/>
    <w:rsid w:val="00166BD3"/>
    <w:rsid w:val="00181F01"/>
    <w:rsid w:val="00182985"/>
    <w:rsid w:val="001A51C9"/>
    <w:rsid w:val="001A602A"/>
    <w:rsid w:val="001C1450"/>
    <w:rsid w:val="001D27F4"/>
    <w:rsid w:val="001D4156"/>
    <w:rsid w:val="001D4CA1"/>
    <w:rsid w:val="001E3633"/>
    <w:rsid w:val="001F05A9"/>
    <w:rsid w:val="00200AF0"/>
    <w:rsid w:val="0020510C"/>
    <w:rsid w:val="00220A07"/>
    <w:rsid w:val="00221D79"/>
    <w:rsid w:val="002347B4"/>
    <w:rsid w:val="00255D82"/>
    <w:rsid w:val="00261BF2"/>
    <w:rsid w:val="002639A7"/>
    <w:rsid w:val="0026504A"/>
    <w:rsid w:val="00265118"/>
    <w:rsid w:val="00265780"/>
    <w:rsid w:val="0027059F"/>
    <w:rsid w:val="00273F68"/>
    <w:rsid w:val="00276BB3"/>
    <w:rsid w:val="00283043"/>
    <w:rsid w:val="00286DBF"/>
    <w:rsid w:val="002A40AA"/>
    <w:rsid w:val="002B5FA8"/>
    <w:rsid w:val="002C5ECE"/>
    <w:rsid w:val="002D0B86"/>
    <w:rsid w:val="002D5EBB"/>
    <w:rsid w:val="002E42BE"/>
    <w:rsid w:val="002E67BB"/>
    <w:rsid w:val="00302355"/>
    <w:rsid w:val="00313F22"/>
    <w:rsid w:val="00314A1F"/>
    <w:rsid w:val="00322857"/>
    <w:rsid w:val="00343365"/>
    <w:rsid w:val="00347511"/>
    <w:rsid w:val="00366978"/>
    <w:rsid w:val="00380952"/>
    <w:rsid w:val="0039048D"/>
    <w:rsid w:val="003A3CC7"/>
    <w:rsid w:val="003D3C71"/>
    <w:rsid w:val="003E5375"/>
    <w:rsid w:val="003F5B3C"/>
    <w:rsid w:val="003F6FE8"/>
    <w:rsid w:val="00404F93"/>
    <w:rsid w:val="00423BEA"/>
    <w:rsid w:val="00426141"/>
    <w:rsid w:val="004324B2"/>
    <w:rsid w:val="004325F2"/>
    <w:rsid w:val="00435004"/>
    <w:rsid w:val="00442714"/>
    <w:rsid w:val="00442C57"/>
    <w:rsid w:val="00466E74"/>
    <w:rsid w:val="00482873"/>
    <w:rsid w:val="004A3D80"/>
    <w:rsid w:val="004A621F"/>
    <w:rsid w:val="004A6385"/>
    <w:rsid w:val="004B4E49"/>
    <w:rsid w:val="004B5642"/>
    <w:rsid w:val="004B6513"/>
    <w:rsid w:val="004B7CB6"/>
    <w:rsid w:val="004C3E29"/>
    <w:rsid w:val="004D125E"/>
    <w:rsid w:val="004D468E"/>
    <w:rsid w:val="004E42B8"/>
    <w:rsid w:val="004E7D0F"/>
    <w:rsid w:val="00500146"/>
    <w:rsid w:val="00502FE0"/>
    <w:rsid w:val="005033CF"/>
    <w:rsid w:val="00517438"/>
    <w:rsid w:val="005331F9"/>
    <w:rsid w:val="00556694"/>
    <w:rsid w:val="00567CCC"/>
    <w:rsid w:val="0057184C"/>
    <w:rsid w:val="00576328"/>
    <w:rsid w:val="00576BE2"/>
    <w:rsid w:val="005A1DF1"/>
    <w:rsid w:val="005C6AE3"/>
    <w:rsid w:val="005E64F8"/>
    <w:rsid w:val="005F3972"/>
    <w:rsid w:val="006053E5"/>
    <w:rsid w:val="00614913"/>
    <w:rsid w:val="00624506"/>
    <w:rsid w:val="006317B2"/>
    <w:rsid w:val="006369F0"/>
    <w:rsid w:val="006430B1"/>
    <w:rsid w:val="00676DCB"/>
    <w:rsid w:val="00686985"/>
    <w:rsid w:val="00692BE6"/>
    <w:rsid w:val="006971E8"/>
    <w:rsid w:val="006B3081"/>
    <w:rsid w:val="006C5655"/>
    <w:rsid w:val="006C7720"/>
    <w:rsid w:val="006D1C96"/>
    <w:rsid w:val="006E0DC0"/>
    <w:rsid w:val="006F0405"/>
    <w:rsid w:val="006F3D15"/>
    <w:rsid w:val="00703B41"/>
    <w:rsid w:val="00703E7C"/>
    <w:rsid w:val="007074BA"/>
    <w:rsid w:val="007104A5"/>
    <w:rsid w:val="00724D38"/>
    <w:rsid w:val="007254A5"/>
    <w:rsid w:val="0073194A"/>
    <w:rsid w:val="007372FC"/>
    <w:rsid w:val="007465DC"/>
    <w:rsid w:val="00771721"/>
    <w:rsid w:val="00786C74"/>
    <w:rsid w:val="00790C08"/>
    <w:rsid w:val="007A48B7"/>
    <w:rsid w:val="007B192F"/>
    <w:rsid w:val="007C6E6A"/>
    <w:rsid w:val="007D2866"/>
    <w:rsid w:val="007E3C21"/>
    <w:rsid w:val="007F1790"/>
    <w:rsid w:val="008164EB"/>
    <w:rsid w:val="00821F87"/>
    <w:rsid w:val="0082615C"/>
    <w:rsid w:val="0083326B"/>
    <w:rsid w:val="008337B8"/>
    <w:rsid w:val="0085621B"/>
    <w:rsid w:val="008618D3"/>
    <w:rsid w:val="00866E43"/>
    <w:rsid w:val="00873144"/>
    <w:rsid w:val="00873ADD"/>
    <w:rsid w:val="008820C6"/>
    <w:rsid w:val="0088651C"/>
    <w:rsid w:val="00894277"/>
    <w:rsid w:val="00897E0D"/>
    <w:rsid w:val="008A33C8"/>
    <w:rsid w:val="008B3F9C"/>
    <w:rsid w:val="008C2603"/>
    <w:rsid w:val="008F0734"/>
    <w:rsid w:val="008F52B7"/>
    <w:rsid w:val="009028AB"/>
    <w:rsid w:val="00902F1D"/>
    <w:rsid w:val="00923E62"/>
    <w:rsid w:val="00927580"/>
    <w:rsid w:val="0094067A"/>
    <w:rsid w:val="009503B0"/>
    <w:rsid w:val="00953DA0"/>
    <w:rsid w:val="0096041D"/>
    <w:rsid w:val="00961FBB"/>
    <w:rsid w:val="00973C02"/>
    <w:rsid w:val="00997BC5"/>
    <w:rsid w:val="009A11C9"/>
    <w:rsid w:val="009A2AB8"/>
    <w:rsid w:val="009C09CD"/>
    <w:rsid w:val="009C4533"/>
    <w:rsid w:val="009D7E55"/>
    <w:rsid w:val="009E6FE6"/>
    <w:rsid w:val="009F19CE"/>
    <w:rsid w:val="009F3D9C"/>
    <w:rsid w:val="00A10A75"/>
    <w:rsid w:val="00A145FA"/>
    <w:rsid w:val="00A178B0"/>
    <w:rsid w:val="00A3344A"/>
    <w:rsid w:val="00A35F92"/>
    <w:rsid w:val="00A46D88"/>
    <w:rsid w:val="00A85B7A"/>
    <w:rsid w:val="00AA1CFF"/>
    <w:rsid w:val="00AE2742"/>
    <w:rsid w:val="00AE5628"/>
    <w:rsid w:val="00AE5FD5"/>
    <w:rsid w:val="00B00179"/>
    <w:rsid w:val="00B01EBA"/>
    <w:rsid w:val="00B10F79"/>
    <w:rsid w:val="00B21408"/>
    <w:rsid w:val="00B352CF"/>
    <w:rsid w:val="00B4371F"/>
    <w:rsid w:val="00B46B1B"/>
    <w:rsid w:val="00B50FE4"/>
    <w:rsid w:val="00B54B04"/>
    <w:rsid w:val="00B713C4"/>
    <w:rsid w:val="00B71677"/>
    <w:rsid w:val="00B75079"/>
    <w:rsid w:val="00B90FBE"/>
    <w:rsid w:val="00BA231B"/>
    <w:rsid w:val="00BB4172"/>
    <w:rsid w:val="00BD5A61"/>
    <w:rsid w:val="00BD5ECC"/>
    <w:rsid w:val="00BE4E2C"/>
    <w:rsid w:val="00BE59E6"/>
    <w:rsid w:val="00BF6B91"/>
    <w:rsid w:val="00C11C23"/>
    <w:rsid w:val="00C170B9"/>
    <w:rsid w:val="00C208D3"/>
    <w:rsid w:val="00C232B7"/>
    <w:rsid w:val="00C32D38"/>
    <w:rsid w:val="00C651CA"/>
    <w:rsid w:val="00C676C8"/>
    <w:rsid w:val="00C703D8"/>
    <w:rsid w:val="00C70D80"/>
    <w:rsid w:val="00C72D9E"/>
    <w:rsid w:val="00C73741"/>
    <w:rsid w:val="00C75E95"/>
    <w:rsid w:val="00C7794A"/>
    <w:rsid w:val="00C876CC"/>
    <w:rsid w:val="00CB2F84"/>
    <w:rsid w:val="00CB7246"/>
    <w:rsid w:val="00CC5211"/>
    <w:rsid w:val="00CD28A1"/>
    <w:rsid w:val="00CE00CA"/>
    <w:rsid w:val="00CE19CE"/>
    <w:rsid w:val="00CE4BEE"/>
    <w:rsid w:val="00CE7F70"/>
    <w:rsid w:val="00CF10B7"/>
    <w:rsid w:val="00CF1B9F"/>
    <w:rsid w:val="00CF5F3E"/>
    <w:rsid w:val="00D01BC2"/>
    <w:rsid w:val="00D150F4"/>
    <w:rsid w:val="00D24601"/>
    <w:rsid w:val="00D35780"/>
    <w:rsid w:val="00D35D81"/>
    <w:rsid w:val="00D43F3F"/>
    <w:rsid w:val="00D50010"/>
    <w:rsid w:val="00D516AA"/>
    <w:rsid w:val="00D5367A"/>
    <w:rsid w:val="00D578F8"/>
    <w:rsid w:val="00D64295"/>
    <w:rsid w:val="00D804D5"/>
    <w:rsid w:val="00D80E02"/>
    <w:rsid w:val="00D83D78"/>
    <w:rsid w:val="00D96933"/>
    <w:rsid w:val="00DA0435"/>
    <w:rsid w:val="00DA1449"/>
    <w:rsid w:val="00DA44E2"/>
    <w:rsid w:val="00DA5547"/>
    <w:rsid w:val="00DB1EE2"/>
    <w:rsid w:val="00DB297D"/>
    <w:rsid w:val="00DB3A80"/>
    <w:rsid w:val="00DD021E"/>
    <w:rsid w:val="00DE5673"/>
    <w:rsid w:val="00DE7B0C"/>
    <w:rsid w:val="00DF0780"/>
    <w:rsid w:val="00E0584B"/>
    <w:rsid w:val="00E15972"/>
    <w:rsid w:val="00E3296F"/>
    <w:rsid w:val="00E51F5B"/>
    <w:rsid w:val="00E560E9"/>
    <w:rsid w:val="00E75D7D"/>
    <w:rsid w:val="00E774AA"/>
    <w:rsid w:val="00E80FCB"/>
    <w:rsid w:val="00EA3171"/>
    <w:rsid w:val="00EA59E3"/>
    <w:rsid w:val="00EC089A"/>
    <w:rsid w:val="00EC5F43"/>
    <w:rsid w:val="00EC62C2"/>
    <w:rsid w:val="00EE2E5D"/>
    <w:rsid w:val="00F009B8"/>
    <w:rsid w:val="00F07DC2"/>
    <w:rsid w:val="00F149A0"/>
    <w:rsid w:val="00F15CBC"/>
    <w:rsid w:val="00F175C0"/>
    <w:rsid w:val="00F23163"/>
    <w:rsid w:val="00F2403F"/>
    <w:rsid w:val="00F36E26"/>
    <w:rsid w:val="00F417E1"/>
    <w:rsid w:val="00F52715"/>
    <w:rsid w:val="00F668D7"/>
    <w:rsid w:val="00F72325"/>
    <w:rsid w:val="00F752BB"/>
    <w:rsid w:val="00F871B4"/>
    <w:rsid w:val="00F91F73"/>
    <w:rsid w:val="00F9341F"/>
    <w:rsid w:val="00F94EA3"/>
    <w:rsid w:val="00F9584B"/>
    <w:rsid w:val="00FA3F4E"/>
    <w:rsid w:val="00FA440B"/>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0020"/>
  <w15:docId w15:val="{580C1BED-AC54-B24F-81E8-EA4C8FD7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8227216">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6B0E71"/>
    <w:rsid w:val="0071141A"/>
    <w:rsid w:val="008140BE"/>
    <w:rsid w:val="00863E61"/>
    <w:rsid w:val="00BC4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0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30</cp:revision>
  <cp:lastPrinted>2019-06-19T14:34:00Z</cp:lastPrinted>
  <dcterms:created xsi:type="dcterms:W3CDTF">2019-06-19T10:16:00Z</dcterms:created>
  <dcterms:modified xsi:type="dcterms:W3CDTF">2020-10-17T16:56:00Z</dcterms:modified>
</cp:coreProperties>
</file>